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8EA96" w14:textId="7162DF3D" w:rsidR="00CF59AD" w:rsidRPr="001A02B6" w:rsidRDefault="006E435A" w:rsidP="00442C1E">
      <w:pPr>
        <w:jc w:val="center"/>
        <w:rPr>
          <w:rFonts w:cstheme="minorHAnsi"/>
          <w:b/>
          <w:sz w:val="24"/>
        </w:rPr>
      </w:pPr>
      <w:bookmarkStart w:id="0" w:name="_GoBack"/>
      <w:bookmarkEnd w:id="0"/>
      <w:r w:rsidRPr="001A02B6">
        <w:rPr>
          <w:rFonts w:cstheme="minorHAnsi"/>
          <w:b/>
          <w:sz w:val="24"/>
        </w:rPr>
        <w:t xml:space="preserve">Transitional Math (TM) </w:t>
      </w:r>
      <w:r w:rsidR="00442C1E" w:rsidRPr="001A02B6">
        <w:rPr>
          <w:rFonts w:cstheme="minorHAnsi"/>
          <w:b/>
          <w:sz w:val="24"/>
        </w:rPr>
        <w:t>Portability</w:t>
      </w:r>
      <w:r w:rsidRPr="001A02B6">
        <w:rPr>
          <w:rFonts w:cstheme="minorHAnsi"/>
          <w:b/>
          <w:sz w:val="24"/>
        </w:rPr>
        <w:t xml:space="preserve"> </w:t>
      </w:r>
      <w:r w:rsidR="00442C1E" w:rsidRPr="001A02B6">
        <w:rPr>
          <w:rFonts w:cstheme="minorHAnsi"/>
          <w:b/>
          <w:sz w:val="24"/>
        </w:rPr>
        <w:t>Processes for Partnerships</w:t>
      </w:r>
    </w:p>
    <w:p w14:paraId="218AD5F9" w14:textId="112D68F3" w:rsidR="00442C1E" w:rsidRPr="001A02B6" w:rsidRDefault="00D52F95" w:rsidP="00442C1E">
      <w:pPr>
        <w:pStyle w:val="ListParagraph"/>
        <w:numPr>
          <w:ilvl w:val="0"/>
          <w:numId w:val="1"/>
        </w:numPr>
        <w:rPr>
          <w:rFonts w:cstheme="minorHAnsi"/>
        </w:rPr>
      </w:pPr>
      <w:r w:rsidRPr="001A02B6">
        <w:rPr>
          <w:rFonts w:cstheme="minorHAnsi"/>
        </w:rPr>
        <w:t>Due to the importance of the role of local course review, t</w:t>
      </w:r>
      <w:r w:rsidR="00442C1E" w:rsidRPr="001A02B6">
        <w:rPr>
          <w:rFonts w:cstheme="minorHAnsi"/>
        </w:rPr>
        <w:t xml:space="preserve">he </w:t>
      </w:r>
      <w:r w:rsidR="006E435A" w:rsidRPr="001A02B6">
        <w:rPr>
          <w:rFonts w:cstheme="minorHAnsi"/>
        </w:rPr>
        <w:t>Statewide P</w:t>
      </w:r>
      <w:r w:rsidR="00442C1E" w:rsidRPr="001A02B6">
        <w:rPr>
          <w:rFonts w:cstheme="minorHAnsi"/>
        </w:rPr>
        <w:t xml:space="preserve">ortability </w:t>
      </w:r>
      <w:r w:rsidR="006E435A" w:rsidRPr="001A02B6">
        <w:rPr>
          <w:rFonts w:cstheme="minorHAnsi"/>
        </w:rPr>
        <w:t xml:space="preserve">Panel (SPP) </w:t>
      </w:r>
      <w:r w:rsidRPr="001A02B6">
        <w:rPr>
          <w:rFonts w:cstheme="minorHAnsi"/>
          <w:u w:val="single"/>
        </w:rPr>
        <w:t>strongly</w:t>
      </w:r>
      <w:r w:rsidRPr="001A02B6">
        <w:rPr>
          <w:rFonts w:cstheme="minorHAnsi"/>
        </w:rPr>
        <w:t xml:space="preserve"> </w:t>
      </w:r>
      <w:r w:rsidR="00442C1E" w:rsidRPr="001A02B6">
        <w:rPr>
          <w:rFonts w:cstheme="minorHAnsi"/>
        </w:rPr>
        <w:t xml:space="preserve">recommends </w:t>
      </w:r>
      <w:r w:rsidR="006641C0" w:rsidRPr="001A02B6">
        <w:rPr>
          <w:rFonts w:cstheme="minorHAnsi"/>
        </w:rPr>
        <w:t xml:space="preserve">as best practice </w:t>
      </w:r>
      <w:r w:rsidR="00442C1E" w:rsidRPr="001A02B6">
        <w:rPr>
          <w:rFonts w:cstheme="minorHAnsi"/>
        </w:rPr>
        <w:t xml:space="preserve">that each partnership create </w:t>
      </w:r>
      <w:r w:rsidR="00047F42" w:rsidRPr="001A02B6">
        <w:rPr>
          <w:rFonts w:cstheme="minorHAnsi"/>
        </w:rPr>
        <w:t xml:space="preserve">a </w:t>
      </w:r>
      <w:r w:rsidR="006E435A" w:rsidRPr="001A02B6">
        <w:rPr>
          <w:rFonts w:cstheme="minorHAnsi"/>
        </w:rPr>
        <w:t>Local A</w:t>
      </w:r>
      <w:r w:rsidR="00442C1E" w:rsidRPr="001A02B6">
        <w:rPr>
          <w:rFonts w:cstheme="minorHAnsi"/>
        </w:rPr>
        <w:t xml:space="preserve">dvisory </w:t>
      </w:r>
      <w:r w:rsidR="006E435A" w:rsidRPr="001A02B6">
        <w:rPr>
          <w:rFonts w:cstheme="minorHAnsi"/>
        </w:rPr>
        <w:t>P</w:t>
      </w:r>
      <w:r w:rsidR="00442C1E" w:rsidRPr="001A02B6">
        <w:rPr>
          <w:rFonts w:cstheme="minorHAnsi"/>
        </w:rPr>
        <w:t>anel</w:t>
      </w:r>
      <w:r w:rsidR="006E435A" w:rsidRPr="001A02B6">
        <w:rPr>
          <w:rFonts w:cstheme="minorHAnsi"/>
        </w:rPr>
        <w:t xml:space="preserve"> (LAP)</w:t>
      </w:r>
      <w:r w:rsidR="00442C1E" w:rsidRPr="001A02B6">
        <w:rPr>
          <w:rFonts w:cstheme="minorHAnsi"/>
        </w:rPr>
        <w:t xml:space="preserve"> with equal representation from high school and college constituents. The size and composition of the </w:t>
      </w:r>
      <w:r w:rsidR="006E435A" w:rsidRPr="001A02B6">
        <w:rPr>
          <w:rFonts w:cstheme="minorHAnsi"/>
        </w:rPr>
        <w:t>LAP</w:t>
      </w:r>
      <w:r w:rsidR="00442C1E" w:rsidRPr="001A02B6">
        <w:rPr>
          <w:rFonts w:cstheme="minorHAnsi"/>
        </w:rPr>
        <w:t xml:space="preserve"> is at the discretion of the </w:t>
      </w:r>
      <w:r w:rsidR="006E435A" w:rsidRPr="001A02B6">
        <w:rPr>
          <w:rFonts w:cstheme="minorHAnsi"/>
        </w:rPr>
        <w:t xml:space="preserve">local </w:t>
      </w:r>
      <w:r w:rsidR="00442C1E" w:rsidRPr="001A02B6">
        <w:rPr>
          <w:rFonts w:cstheme="minorHAnsi"/>
        </w:rPr>
        <w:t xml:space="preserve">partnership; however, a recommended structure includes at least one administrator and one math teacher to represent </w:t>
      </w:r>
      <w:r w:rsidR="00047F42" w:rsidRPr="001A02B6">
        <w:rPr>
          <w:rFonts w:cstheme="minorHAnsi"/>
        </w:rPr>
        <w:t>the</w:t>
      </w:r>
      <w:r w:rsidR="006E435A" w:rsidRPr="001A02B6">
        <w:rPr>
          <w:rFonts w:cstheme="minorHAnsi"/>
        </w:rPr>
        <w:t xml:space="preserve"> </w:t>
      </w:r>
      <w:r w:rsidR="00442C1E" w:rsidRPr="001A02B6">
        <w:rPr>
          <w:rFonts w:cstheme="minorHAnsi"/>
        </w:rPr>
        <w:t>high school</w:t>
      </w:r>
      <w:r w:rsidR="00047F42" w:rsidRPr="001A02B6">
        <w:rPr>
          <w:rFonts w:cstheme="minorHAnsi"/>
        </w:rPr>
        <w:t>s</w:t>
      </w:r>
      <w:r w:rsidR="00442C1E" w:rsidRPr="001A02B6">
        <w:rPr>
          <w:rFonts w:cstheme="minorHAnsi"/>
        </w:rPr>
        <w:t xml:space="preserve"> in the partnership as well as </w:t>
      </w:r>
      <w:r w:rsidR="0031662B" w:rsidRPr="001A02B6">
        <w:rPr>
          <w:rFonts w:cstheme="minorHAnsi"/>
        </w:rPr>
        <w:t xml:space="preserve">at least </w:t>
      </w:r>
      <w:r w:rsidR="00442C1E" w:rsidRPr="001A02B6">
        <w:rPr>
          <w:rFonts w:cstheme="minorHAnsi"/>
        </w:rPr>
        <w:t>one administrator and one math faculty member to represent the community college.</w:t>
      </w:r>
    </w:p>
    <w:p w14:paraId="18FE80D3" w14:textId="77777777" w:rsidR="00442C1E" w:rsidRPr="001A02B6" w:rsidRDefault="00442C1E" w:rsidP="00442C1E">
      <w:pPr>
        <w:pStyle w:val="ListParagraph"/>
        <w:rPr>
          <w:rFonts w:cstheme="minorHAnsi"/>
        </w:rPr>
      </w:pPr>
    </w:p>
    <w:p w14:paraId="473A8603" w14:textId="303001C8" w:rsidR="00442C1E" w:rsidRPr="001A02B6" w:rsidRDefault="00265F97" w:rsidP="00442C1E">
      <w:pPr>
        <w:pStyle w:val="ListParagraph"/>
        <w:numPr>
          <w:ilvl w:val="0"/>
          <w:numId w:val="1"/>
        </w:numPr>
        <w:rPr>
          <w:rFonts w:cstheme="minorHAnsi"/>
        </w:rPr>
      </w:pPr>
      <w:r w:rsidRPr="001A02B6">
        <w:rPr>
          <w:rFonts w:cstheme="minorHAnsi"/>
        </w:rPr>
        <w:t>It is recommended that t</w:t>
      </w:r>
      <w:r w:rsidR="00442C1E" w:rsidRPr="001A02B6">
        <w:rPr>
          <w:rFonts w:cstheme="minorHAnsi"/>
        </w:rPr>
        <w:t xml:space="preserve">he </w:t>
      </w:r>
      <w:r w:rsidR="006E435A" w:rsidRPr="001A02B6">
        <w:rPr>
          <w:rFonts w:cstheme="minorHAnsi"/>
        </w:rPr>
        <w:t>Local Advisory Panel shall</w:t>
      </w:r>
      <w:r w:rsidR="00442C1E" w:rsidRPr="001A02B6">
        <w:rPr>
          <w:rFonts w:cstheme="minorHAnsi"/>
        </w:rPr>
        <w:t xml:space="preserve"> support the partnership as follows:</w:t>
      </w:r>
    </w:p>
    <w:p w14:paraId="41D84112" w14:textId="20452855" w:rsidR="00442C1E" w:rsidRPr="001A02B6" w:rsidRDefault="00442C1E" w:rsidP="00442C1E">
      <w:pPr>
        <w:pStyle w:val="ListParagraph"/>
        <w:rPr>
          <w:rFonts w:cstheme="minorHAnsi"/>
        </w:rPr>
      </w:pPr>
    </w:p>
    <w:p w14:paraId="50EE8F1D" w14:textId="6CD4FE6C" w:rsidR="00442C1E" w:rsidRPr="001A02B6" w:rsidRDefault="00442C1E" w:rsidP="00442C1E">
      <w:pPr>
        <w:pStyle w:val="ListParagraph"/>
        <w:numPr>
          <w:ilvl w:val="0"/>
          <w:numId w:val="2"/>
        </w:numPr>
        <w:rPr>
          <w:rFonts w:cstheme="minorHAnsi"/>
        </w:rPr>
      </w:pPr>
      <w:r w:rsidRPr="001A02B6">
        <w:rPr>
          <w:rFonts w:cstheme="minorHAnsi"/>
        </w:rPr>
        <w:t xml:space="preserve">Each high school will </w:t>
      </w:r>
      <w:r w:rsidR="00E94281">
        <w:rPr>
          <w:rFonts w:cstheme="minorHAnsi"/>
        </w:rPr>
        <w:t>create a transitional math syllabus and corresponding content competencies spreadsheet</w:t>
      </w:r>
      <w:r w:rsidR="00265F97" w:rsidRPr="001A02B6">
        <w:rPr>
          <w:rFonts w:cstheme="minorHAnsi"/>
        </w:rPr>
        <w:t xml:space="preserve"> </w:t>
      </w:r>
      <w:r w:rsidRPr="001A02B6">
        <w:rPr>
          <w:rFonts w:cstheme="minorHAnsi"/>
        </w:rPr>
        <w:t xml:space="preserve">for each of their </w:t>
      </w:r>
      <w:r w:rsidR="00D52F95" w:rsidRPr="001A02B6">
        <w:rPr>
          <w:rFonts w:cstheme="minorHAnsi"/>
        </w:rPr>
        <w:t>t</w:t>
      </w:r>
      <w:r w:rsidRPr="001A02B6">
        <w:rPr>
          <w:rFonts w:cstheme="minorHAnsi"/>
        </w:rPr>
        <w:t xml:space="preserve">ransitional </w:t>
      </w:r>
      <w:r w:rsidR="00D52F95" w:rsidRPr="001A02B6">
        <w:rPr>
          <w:rFonts w:cstheme="minorHAnsi"/>
        </w:rPr>
        <w:t>m</w:t>
      </w:r>
      <w:r w:rsidRPr="001A02B6">
        <w:rPr>
          <w:rFonts w:cstheme="minorHAnsi"/>
        </w:rPr>
        <w:t xml:space="preserve">ath pathways. </w:t>
      </w:r>
    </w:p>
    <w:p w14:paraId="0FB1FBFD" w14:textId="77777777" w:rsidR="00385ADA" w:rsidRPr="00E94281" w:rsidRDefault="00385ADA" w:rsidP="00385ADA">
      <w:pPr>
        <w:pStyle w:val="ListParagraph"/>
        <w:ind w:left="1440"/>
        <w:rPr>
          <w:rFonts w:cstheme="minorHAnsi"/>
          <w:sz w:val="16"/>
        </w:rPr>
      </w:pPr>
    </w:p>
    <w:p w14:paraId="5B6251A1" w14:textId="2A86C919" w:rsidR="00442C1E" w:rsidRPr="001A02B6" w:rsidRDefault="00442C1E" w:rsidP="00047F42">
      <w:pPr>
        <w:pStyle w:val="ListParagraph"/>
        <w:numPr>
          <w:ilvl w:val="0"/>
          <w:numId w:val="2"/>
        </w:numPr>
        <w:rPr>
          <w:rFonts w:cstheme="minorHAnsi"/>
        </w:rPr>
      </w:pPr>
      <w:r w:rsidRPr="001A02B6">
        <w:rPr>
          <w:rFonts w:cstheme="minorHAnsi"/>
        </w:rPr>
        <w:t xml:space="preserve">The high schools and community college in the partnership will agree to a Memo of Understanding (MOU) that satisfies the required </w:t>
      </w:r>
      <w:r w:rsidR="000F236A">
        <w:rPr>
          <w:rFonts w:cstheme="minorHAnsi"/>
        </w:rPr>
        <w:t xml:space="preserve">state </w:t>
      </w:r>
      <w:r w:rsidRPr="001A02B6">
        <w:rPr>
          <w:rFonts w:cstheme="minorHAnsi"/>
        </w:rPr>
        <w:t>policies. Partnerships are encouraged to use the statewide MOU template, adding in details specific to their partnership’s agreement as applicable.</w:t>
      </w:r>
      <w:r w:rsidR="00EE257C" w:rsidRPr="001A02B6">
        <w:rPr>
          <w:rFonts w:cstheme="minorHAnsi"/>
        </w:rPr>
        <w:t xml:space="preserve"> While the contents of the MOU will be identical for each high school in the partnership, high schools will each have their own copy of the MOU to simplify the process of gaining the required signatures from the high school district and community college.</w:t>
      </w:r>
    </w:p>
    <w:p w14:paraId="4F3D25E2" w14:textId="77E32784" w:rsidR="00442C1E" w:rsidRPr="001A02B6" w:rsidRDefault="00442C1E" w:rsidP="00442C1E">
      <w:pPr>
        <w:pStyle w:val="ListParagraph"/>
        <w:rPr>
          <w:rFonts w:cstheme="minorHAnsi"/>
        </w:rPr>
      </w:pPr>
    </w:p>
    <w:p w14:paraId="606FD9AE" w14:textId="4CBC44B2" w:rsidR="00442C1E" w:rsidRPr="001A02B6" w:rsidRDefault="00442C1E" w:rsidP="00047F42">
      <w:pPr>
        <w:pStyle w:val="ListParagraph"/>
        <w:numPr>
          <w:ilvl w:val="0"/>
          <w:numId w:val="2"/>
        </w:numPr>
        <w:rPr>
          <w:rFonts w:cstheme="minorHAnsi"/>
        </w:rPr>
      </w:pPr>
      <w:r w:rsidRPr="001A02B6">
        <w:rPr>
          <w:rFonts w:cstheme="minorHAnsi"/>
        </w:rPr>
        <w:t xml:space="preserve">The </w:t>
      </w:r>
      <w:r w:rsidR="006E435A" w:rsidRPr="001A02B6">
        <w:rPr>
          <w:rFonts w:cstheme="minorHAnsi"/>
        </w:rPr>
        <w:t>LAP</w:t>
      </w:r>
      <w:r w:rsidRPr="001A02B6">
        <w:rPr>
          <w:rFonts w:cstheme="minorHAnsi"/>
        </w:rPr>
        <w:t xml:space="preserve"> will collect </w:t>
      </w:r>
      <w:r w:rsidR="00976310" w:rsidRPr="001A02B6">
        <w:rPr>
          <w:rFonts w:cstheme="minorHAnsi"/>
        </w:rPr>
        <w:t xml:space="preserve">course and </w:t>
      </w:r>
      <w:r w:rsidRPr="001A02B6">
        <w:rPr>
          <w:rFonts w:cstheme="minorHAnsi"/>
        </w:rPr>
        <w:t>curricular documentation</w:t>
      </w:r>
      <w:r w:rsidR="00E94281">
        <w:rPr>
          <w:rFonts w:cstheme="minorHAnsi"/>
        </w:rPr>
        <w:t xml:space="preserve"> (transitional math syllabi and content competencies spreadsheets)</w:t>
      </w:r>
      <w:r w:rsidRPr="001A02B6">
        <w:rPr>
          <w:rFonts w:cstheme="minorHAnsi"/>
        </w:rPr>
        <w:t xml:space="preserve"> from all high schools in the partnership </w:t>
      </w:r>
      <w:r w:rsidR="00A6005D">
        <w:rPr>
          <w:rFonts w:cstheme="minorHAnsi"/>
        </w:rPr>
        <w:t xml:space="preserve">that are seeking portability </w:t>
      </w:r>
      <w:r w:rsidRPr="001A02B6">
        <w:rPr>
          <w:rFonts w:cstheme="minorHAnsi"/>
        </w:rPr>
        <w:t xml:space="preserve">and review the courses according to the </w:t>
      </w:r>
      <w:r w:rsidR="006E435A" w:rsidRPr="001A02B6">
        <w:rPr>
          <w:rFonts w:cstheme="minorHAnsi"/>
        </w:rPr>
        <w:t>Statewide P</w:t>
      </w:r>
      <w:r w:rsidRPr="001A02B6">
        <w:rPr>
          <w:rFonts w:cstheme="minorHAnsi"/>
        </w:rPr>
        <w:t xml:space="preserve">ortability </w:t>
      </w:r>
      <w:r w:rsidR="006E435A" w:rsidRPr="001A02B6">
        <w:rPr>
          <w:rFonts w:cstheme="minorHAnsi"/>
        </w:rPr>
        <w:t xml:space="preserve">Panel’s </w:t>
      </w:r>
      <w:r w:rsidRPr="001A02B6">
        <w:rPr>
          <w:rFonts w:cstheme="minorHAnsi"/>
        </w:rPr>
        <w:t>course approval criteria</w:t>
      </w:r>
      <w:r w:rsidR="002B77A9">
        <w:rPr>
          <w:rFonts w:cstheme="minorHAnsi"/>
        </w:rPr>
        <w:t xml:space="preserve"> (see pages 2 – 3</w:t>
      </w:r>
      <w:r w:rsidR="00A6005D">
        <w:rPr>
          <w:rFonts w:cstheme="minorHAnsi"/>
        </w:rPr>
        <w:t xml:space="preserve"> of this document</w:t>
      </w:r>
      <w:r w:rsidR="002B77A9">
        <w:rPr>
          <w:rFonts w:cstheme="minorHAnsi"/>
        </w:rPr>
        <w:t>)</w:t>
      </w:r>
      <w:r w:rsidRPr="001A02B6">
        <w:rPr>
          <w:rFonts w:cstheme="minorHAnsi"/>
        </w:rPr>
        <w:t>. A representative course for each pathway</w:t>
      </w:r>
      <w:r w:rsidR="006E435A" w:rsidRPr="001A02B6">
        <w:rPr>
          <w:rFonts w:cstheme="minorHAnsi"/>
        </w:rPr>
        <w:t xml:space="preserve"> </w:t>
      </w:r>
      <w:r w:rsidRPr="001A02B6">
        <w:rPr>
          <w:rFonts w:cstheme="minorHAnsi"/>
        </w:rPr>
        <w:t>will be chosen</w:t>
      </w:r>
      <w:r w:rsidR="00047F42" w:rsidRPr="001A02B6">
        <w:rPr>
          <w:rFonts w:cstheme="minorHAnsi"/>
        </w:rPr>
        <w:t xml:space="preserve"> by the LAP</w:t>
      </w:r>
      <w:r w:rsidRPr="001A02B6">
        <w:rPr>
          <w:rFonts w:cstheme="minorHAnsi"/>
        </w:rPr>
        <w:t xml:space="preserve"> </w:t>
      </w:r>
      <w:r w:rsidR="006E435A" w:rsidRPr="001A02B6">
        <w:rPr>
          <w:rFonts w:cstheme="minorHAnsi"/>
        </w:rPr>
        <w:t>and</w:t>
      </w:r>
      <w:r w:rsidRPr="001A02B6">
        <w:rPr>
          <w:rFonts w:cstheme="minorHAnsi"/>
        </w:rPr>
        <w:t xml:space="preserve"> </w:t>
      </w:r>
      <w:r w:rsidR="006E435A" w:rsidRPr="001A02B6">
        <w:rPr>
          <w:rFonts w:cstheme="minorHAnsi"/>
        </w:rPr>
        <w:t xml:space="preserve">submitted </w:t>
      </w:r>
      <w:r w:rsidRPr="001A02B6">
        <w:rPr>
          <w:rFonts w:cstheme="minorHAnsi"/>
        </w:rPr>
        <w:t xml:space="preserve">to the </w:t>
      </w:r>
      <w:r w:rsidR="006E435A" w:rsidRPr="001A02B6">
        <w:rPr>
          <w:rFonts w:cstheme="minorHAnsi"/>
        </w:rPr>
        <w:t>SPP</w:t>
      </w:r>
      <w:r w:rsidR="00047F42" w:rsidRPr="001A02B6">
        <w:rPr>
          <w:rFonts w:cstheme="minorHAnsi"/>
        </w:rPr>
        <w:t xml:space="preserve">. Both the </w:t>
      </w:r>
      <w:r w:rsidR="00976310" w:rsidRPr="001A02B6">
        <w:rPr>
          <w:rFonts w:cstheme="minorHAnsi"/>
        </w:rPr>
        <w:t>course</w:t>
      </w:r>
      <w:r w:rsidR="00047F42" w:rsidRPr="001A02B6">
        <w:rPr>
          <w:rFonts w:cstheme="minorHAnsi"/>
        </w:rPr>
        <w:t xml:space="preserve"> </w:t>
      </w:r>
      <w:r w:rsidR="00A6005D">
        <w:rPr>
          <w:rFonts w:cstheme="minorHAnsi"/>
        </w:rPr>
        <w:t xml:space="preserve">and curricular </w:t>
      </w:r>
      <w:r w:rsidR="00047F42" w:rsidRPr="001A02B6">
        <w:rPr>
          <w:rFonts w:cstheme="minorHAnsi"/>
        </w:rPr>
        <w:t xml:space="preserve">documentation and the MOU will be submitted to the portability panel by the community college. </w:t>
      </w:r>
      <w:r w:rsidR="003C263E" w:rsidRPr="001A02B6">
        <w:rPr>
          <w:rFonts w:cstheme="minorHAnsi"/>
        </w:rPr>
        <w:t xml:space="preserve">After the initial review of all courses in the partnership, </w:t>
      </w:r>
      <w:r w:rsidR="006E435A" w:rsidRPr="001A02B6">
        <w:rPr>
          <w:rFonts w:cstheme="minorHAnsi"/>
        </w:rPr>
        <w:t xml:space="preserve">TM </w:t>
      </w:r>
      <w:r w:rsidR="003C263E" w:rsidRPr="001A02B6">
        <w:rPr>
          <w:rFonts w:cstheme="minorHAnsi"/>
        </w:rPr>
        <w:t xml:space="preserve">courses will be sent to the </w:t>
      </w:r>
      <w:r w:rsidR="006E435A" w:rsidRPr="001A02B6">
        <w:rPr>
          <w:rFonts w:cstheme="minorHAnsi"/>
        </w:rPr>
        <w:t xml:space="preserve">SPP </w:t>
      </w:r>
      <w:r w:rsidR="003C263E" w:rsidRPr="001A02B6">
        <w:rPr>
          <w:rFonts w:cstheme="minorHAnsi"/>
        </w:rPr>
        <w:t>according to the portability panel’s timeline for ongoing course review.</w:t>
      </w:r>
      <w:r w:rsidR="00047F42" w:rsidRPr="001A02B6">
        <w:rPr>
          <w:rFonts w:cstheme="minorHAnsi"/>
        </w:rPr>
        <w:t xml:space="preserve"> </w:t>
      </w:r>
    </w:p>
    <w:p w14:paraId="70D81156" w14:textId="2C1E1278" w:rsidR="00442C1E" w:rsidRPr="00E94281" w:rsidRDefault="00442C1E" w:rsidP="00442C1E">
      <w:pPr>
        <w:pStyle w:val="ListParagraph"/>
        <w:rPr>
          <w:rFonts w:cstheme="minorHAnsi"/>
          <w:sz w:val="16"/>
        </w:rPr>
      </w:pPr>
    </w:p>
    <w:p w14:paraId="18B761FC" w14:textId="59E99285" w:rsidR="00442C1E" w:rsidRDefault="006641C0" w:rsidP="00047F42">
      <w:pPr>
        <w:pStyle w:val="ListParagraph"/>
        <w:numPr>
          <w:ilvl w:val="0"/>
          <w:numId w:val="2"/>
        </w:numPr>
        <w:rPr>
          <w:rFonts w:cstheme="minorHAnsi"/>
        </w:rPr>
      </w:pPr>
      <w:r w:rsidRPr="001A02B6">
        <w:rPr>
          <w:rFonts w:cstheme="minorHAnsi"/>
        </w:rPr>
        <w:t>For courses not submitted to the SPP, t</w:t>
      </w:r>
      <w:r w:rsidR="00442C1E" w:rsidRPr="001A02B6">
        <w:rPr>
          <w:rFonts w:cstheme="minorHAnsi"/>
        </w:rPr>
        <w:t xml:space="preserve">he </w:t>
      </w:r>
      <w:r w:rsidR="006E435A" w:rsidRPr="001A02B6">
        <w:rPr>
          <w:rFonts w:cstheme="minorHAnsi"/>
        </w:rPr>
        <w:t xml:space="preserve">LAP </w:t>
      </w:r>
      <w:r w:rsidR="00442C1E" w:rsidRPr="001A02B6">
        <w:rPr>
          <w:rFonts w:cstheme="minorHAnsi"/>
        </w:rPr>
        <w:t>will draft</w:t>
      </w:r>
      <w:r w:rsidR="00047F42" w:rsidRPr="001A02B6">
        <w:rPr>
          <w:rFonts w:cstheme="minorHAnsi"/>
        </w:rPr>
        <w:t xml:space="preserve"> and send</w:t>
      </w:r>
      <w:r w:rsidR="00442C1E" w:rsidRPr="001A02B6">
        <w:rPr>
          <w:rFonts w:cstheme="minorHAnsi"/>
        </w:rPr>
        <w:t xml:space="preserve"> recommendations to any high school’s principal that has a course that did not meet the course approval criteria.</w:t>
      </w:r>
    </w:p>
    <w:p w14:paraId="4DA4DA00" w14:textId="77777777" w:rsidR="00FD7E9B" w:rsidRPr="00FD7E9B" w:rsidRDefault="00FD7E9B" w:rsidP="00FD7E9B">
      <w:pPr>
        <w:pStyle w:val="ListParagraph"/>
        <w:rPr>
          <w:rFonts w:cstheme="minorHAnsi"/>
        </w:rPr>
      </w:pPr>
    </w:p>
    <w:p w14:paraId="70A6E4CF" w14:textId="4FEF5DD6" w:rsidR="00FD7E9B" w:rsidRPr="00FD7E9B" w:rsidRDefault="00FD7E9B" w:rsidP="00FD7E9B">
      <w:pPr>
        <w:pStyle w:val="ListParagraph"/>
        <w:numPr>
          <w:ilvl w:val="0"/>
          <w:numId w:val="2"/>
        </w:numPr>
        <w:rPr>
          <w:rFonts w:cstheme="minorHAnsi"/>
        </w:rPr>
      </w:pPr>
      <w:r w:rsidRPr="00FD7E9B">
        <w:rPr>
          <w:rFonts w:cstheme="minorHAnsi"/>
        </w:rPr>
        <w:t xml:space="preserve">It is advised that the college maintain a document with the portability codes for each high school in its partnership for ease of reference over time. The Portability Course Submission Worksheet and Portability Modification </w:t>
      </w:r>
      <w:r w:rsidR="00A6005D">
        <w:rPr>
          <w:rFonts w:cstheme="minorHAnsi"/>
        </w:rPr>
        <w:t>F</w:t>
      </w:r>
      <w:r w:rsidRPr="00FD7E9B">
        <w:rPr>
          <w:rFonts w:cstheme="minorHAnsi"/>
        </w:rPr>
        <w:t>orm serve to support acquisition of the needed information.</w:t>
      </w:r>
    </w:p>
    <w:p w14:paraId="7826E77B" w14:textId="078B5DC9" w:rsidR="003C263E" w:rsidRPr="001A02B6" w:rsidRDefault="003C263E" w:rsidP="00442C1E">
      <w:pPr>
        <w:pStyle w:val="ListParagraph"/>
        <w:rPr>
          <w:rFonts w:cstheme="minorHAnsi"/>
        </w:rPr>
      </w:pPr>
    </w:p>
    <w:p w14:paraId="0899A47E" w14:textId="7834C8DD" w:rsidR="003C263E" w:rsidRPr="001A02B6" w:rsidRDefault="006E435A" w:rsidP="003C263E">
      <w:pPr>
        <w:pStyle w:val="ListParagraph"/>
        <w:numPr>
          <w:ilvl w:val="0"/>
          <w:numId w:val="1"/>
        </w:numPr>
        <w:rPr>
          <w:rFonts w:cstheme="minorHAnsi"/>
        </w:rPr>
      </w:pPr>
      <w:r w:rsidRPr="001A02B6">
        <w:rPr>
          <w:rFonts w:cstheme="minorHAnsi"/>
        </w:rPr>
        <w:t>The Statewide P</w:t>
      </w:r>
      <w:r w:rsidR="003C263E" w:rsidRPr="001A02B6">
        <w:rPr>
          <w:rFonts w:cstheme="minorHAnsi"/>
        </w:rPr>
        <w:t xml:space="preserve">ortability </w:t>
      </w:r>
      <w:r w:rsidR="00D52F95" w:rsidRPr="001A02B6">
        <w:rPr>
          <w:rFonts w:cstheme="minorHAnsi"/>
        </w:rPr>
        <w:t>P</w:t>
      </w:r>
      <w:r w:rsidRPr="001A02B6">
        <w:rPr>
          <w:rFonts w:cstheme="minorHAnsi"/>
        </w:rPr>
        <w:t xml:space="preserve">anel </w:t>
      </w:r>
      <w:r w:rsidR="003C263E" w:rsidRPr="001A02B6">
        <w:rPr>
          <w:rFonts w:cstheme="minorHAnsi"/>
        </w:rPr>
        <w:t xml:space="preserve">will respond to each partnership following the spring or fall </w:t>
      </w:r>
      <w:r w:rsidRPr="001A02B6">
        <w:rPr>
          <w:rFonts w:cstheme="minorHAnsi"/>
        </w:rPr>
        <w:t xml:space="preserve">panel </w:t>
      </w:r>
      <w:r w:rsidR="003C263E" w:rsidRPr="001A02B6">
        <w:rPr>
          <w:rFonts w:cstheme="minorHAnsi"/>
        </w:rPr>
        <w:t>meeting with a confirmation of approval or comments with changes that should be made to gain portability.</w:t>
      </w:r>
      <w:r w:rsidR="0067323A" w:rsidRPr="001A02B6">
        <w:rPr>
          <w:rFonts w:cstheme="minorHAnsi"/>
        </w:rPr>
        <w:t xml:space="preserve"> </w:t>
      </w:r>
      <w:r w:rsidR="00D22141">
        <w:rPr>
          <w:rFonts w:cstheme="minorHAnsi"/>
        </w:rPr>
        <w:t xml:space="preserve">Decisions granted are approved, conditional approval, not enough information, or returned. </w:t>
      </w:r>
      <w:r w:rsidR="0067323A" w:rsidRPr="001A02B6">
        <w:rPr>
          <w:rFonts w:cstheme="minorHAnsi"/>
        </w:rPr>
        <w:t xml:space="preserve">Each course gaining approval </w:t>
      </w:r>
      <w:r w:rsidRPr="001A02B6">
        <w:rPr>
          <w:rFonts w:cstheme="minorHAnsi"/>
        </w:rPr>
        <w:t xml:space="preserve">by </w:t>
      </w:r>
      <w:r w:rsidR="0067323A" w:rsidRPr="001A02B6">
        <w:rPr>
          <w:rFonts w:cstheme="minorHAnsi"/>
        </w:rPr>
        <w:t xml:space="preserve">the </w:t>
      </w:r>
      <w:r w:rsidRPr="001A02B6">
        <w:rPr>
          <w:rFonts w:cstheme="minorHAnsi"/>
        </w:rPr>
        <w:t xml:space="preserve">SPP </w:t>
      </w:r>
      <w:r w:rsidR="0067323A" w:rsidRPr="001A02B6">
        <w:rPr>
          <w:rFonts w:cstheme="minorHAnsi"/>
        </w:rPr>
        <w:t xml:space="preserve">ensures </w:t>
      </w:r>
      <w:r w:rsidRPr="001A02B6">
        <w:rPr>
          <w:rFonts w:cstheme="minorHAnsi"/>
        </w:rPr>
        <w:t xml:space="preserve">statewide </w:t>
      </w:r>
      <w:r w:rsidR="0067323A" w:rsidRPr="001A02B6">
        <w:rPr>
          <w:rFonts w:cstheme="minorHAnsi"/>
        </w:rPr>
        <w:t xml:space="preserve">portability for </w:t>
      </w:r>
      <w:r w:rsidR="00265F97" w:rsidRPr="001A02B6">
        <w:rPr>
          <w:rFonts w:cstheme="minorHAnsi"/>
        </w:rPr>
        <w:t>all</w:t>
      </w:r>
      <w:r w:rsidR="0067323A" w:rsidRPr="001A02B6">
        <w:rPr>
          <w:rFonts w:cstheme="minorHAnsi"/>
        </w:rPr>
        <w:t xml:space="preserve"> high school</w:t>
      </w:r>
      <w:r w:rsidR="00265F97" w:rsidRPr="001A02B6">
        <w:rPr>
          <w:rFonts w:cstheme="minorHAnsi"/>
        </w:rPr>
        <w:t>s</w:t>
      </w:r>
      <w:r w:rsidR="0067323A" w:rsidRPr="001A02B6">
        <w:rPr>
          <w:rFonts w:cstheme="minorHAnsi"/>
        </w:rPr>
        <w:t xml:space="preserve"> in the partnership that </w:t>
      </w:r>
      <w:r w:rsidR="00265F97" w:rsidRPr="001A02B6">
        <w:rPr>
          <w:rFonts w:cstheme="minorHAnsi"/>
        </w:rPr>
        <w:t>are</w:t>
      </w:r>
      <w:r w:rsidR="0067323A" w:rsidRPr="001A02B6">
        <w:rPr>
          <w:rFonts w:cstheme="minorHAnsi"/>
        </w:rPr>
        <w:t xml:space="preserve"> offering that course.</w:t>
      </w:r>
      <w:r w:rsidR="00047F42" w:rsidRPr="001A02B6">
        <w:rPr>
          <w:rFonts w:cstheme="minorHAnsi"/>
        </w:rPr>
        <w:t xml:space="preserve"> </w:t>
      </w:r>
    </w:p>
    <w:p w14:paraId="6C097578" w14:textId="77777777" w:rsidR="003C263E" w:rsidRPr="001A02B6" w:rsidRDefault="003C263E" w:rsidP="003C263E">
      <w:pPr>
        <w:pStyle w:val="ListParagraph"/>
        <w:rPr>
          <w:rFonts w:cstheme="minorHAnsi"/>
        </w:rPr>
      </w:pPr>
    </w:p>
    <w:p w14:paraId="1E20C901" w14:textId="3E15E4C7" w:rsidR="003C263E" w:rsidRPr="001A02B6" w:rsidRDefault="003C263E" w:rsidP="003C263E">
      <w:pPr>
        <w:pStyle w:val="ListParagraph"/>
        <w:numPr>
          <w:ilvl w:val="0"/>
          <w:numId w:val="1"/>
        </w:numPr>
        <w:rPr>
          <w:rFonts w:cstheme="minorHAnsi"/>
        </w:rPr>
      </w:pPr>
      <w:r w:rsidRPr="001A02B6">
        <w:rPr>
          <w:rFonts w:cstheme="minorHAnsi"/>
        </w:rPr>
        <w:t xml:space="preserve">Courses that gain approval from the </w:t>
      </w:r>
      <w:r w:rsidR="000F47C8" w:rsidRPr="001A02B6">
        <w:rPr>
          <w:rFonts w:cstheme="minorHAnsi"/>
        </w:rPr>
        <w:t>Statewide P</w:t>
      </w:r>
      <w:r w:rsidRPr="001A02B6">
        <w:rPr>
          <w:rFonts w:cstheme="minorHAnsi"/>
        </w:rPr>
        <w:t xml:space="preserve">ortability </w:t>
      </w:r>
      <w:r w:rsidR="000F47C8" w:rsidRPr="001A02B6">
        <w:rPr>
          <w:rFonts w:cstheme="minorHAnsi"/>
        </w:rPr>
        <w:t xml:space="preserve">Panel </w:t>
      </w:r>
      <w:r w:rsidRPr="001A02B6">
        <w:rPr>
          <w:rFonts w:cstheme="minorHAnsi"/>
        </w:rPr>
        <w:t xml:space="preserve">should indicate the appropriate </w:t>
      </w:r>
      <w:r w:rsidR="000F47C8" w:rsidRPr="001A02B6">
        <w:rPr>
          <w:rFonts w:cstheme="minorHAnsi"/>
        </w:rPr>
        <w:t xml:space="preserve">TM </w:t>
      </w:r>
      <w:r w:rsidRPr="001A02B6">
        <w:rPr>
          <w:rFonts w:cstheme="minorHAnsi"/>
        </w:rPr>
        <w:t xml:space="preserve">portability code on any senior’s </w:t>
      </w:r>
      <w:r w:rsidR="00047F42" w:rsidRPr="001A02B6">
        <w:rPr>
          <w:rFonts w:cstheme="minorHAnsi"/>
        </w:rPr>
        <w:t xml:space="preserve">high school </w:t>
      </w:r>
      <w:r w:rsidRPr="001A02B6">
        <w:rPr>
          <w:rFonts w:cstheme="minorHAnsi"/>
        </w:rPr>
        <w:t xml:space="preserve">transcript in which the senior earned a C or better in the </w:t>
      </w:r>
      <w:r w:rsidR="00D52F95" w:rsidRPr="001A02B6">
        <w:rPr>
          <w:rFonts w:cstheme="minorHAnsi"/>
        </w:rPr>
        <w:t>t</w:t>
      </w:r>
      <w:r w:rsidRPr="001A02B6">
        <w:rPr>
          <w:rFonts w:cstheme="minorHAnsi"/>
        </w:rPr>
        <w:t xml:space="preserve">ransitional </w:t>
      </w:r>
      <w:r w:rsidR="00D52F95" w:rsidRPr="001A02B6">
        <w:rPr>
          <w:rFonts w:cstheme="minorHAnsi"/>
        </w:rPr>
        <w:t>m</w:t>
      </w:r>
      <w:r w:rsidR="000F47C8" w:rsidRPr="001A02B6">
        <w:rPr>
          <w:rFonts w:cstheme="minorHAnsi"/>
        </w:rPr>
        <w:t xml:space="preserve">ath </w:t>
      </w:r>
      <w:r w:rsidRPr="001A02B6">
        <w:rPr>
          <w:rFonts w:cstheme="minorHAnsi"/>
        </w:rPr>
        <w:t xml:space="preserve">competencies. In addition to the </w:t>
      </w:r>
      <w:r w:rsidRPr="001A02B6">
        <w:rPr>
          <w:rFonts w:cstheme="minorHAnsi"/>
          <w:b/>
        </w:rPr>
        <w:t>grade</w:t>
      </w:r>
      <w:r w:rsidRPr="001A02B6">
        <w:rPr>
          <w:rFonts w:cstheme="minorHAnsi"/>
        </w:rPr>
        <w:t xml:space="preserve"> and </w:t>
      </w:r>
      <w:r w:rsidRPr="001A02B6">
        <w:rPr>
          <w:rFonts w:cstheme="minorHAnsi"/>
          <w:b/>
        </w:rPr>
        <w:t>portability code</w:t>
      </w:r>
      <w:r w:rsidRPr="001A02B6">
        <w:rPr>
          <w:rFonts w:cstheme="minorHAnsi"/>
        </w:rPr>
        <w:t xml:space="preserve">, high schools should include the </w:t>
      </w:r>
      <w:r w:rsidRPr="001A02B6">
        <w:rPr>
          <w:rFonts w:cstheme="minorHAnsi"/>
          <w:b/>
        </w:rPr>
        <w:t xml:space="preserve">date that </w:t>
      </w:r>
      <w:r w:rsidR="008A2C44" w:rsidRPr="001A02B6">
        <w:rPr>
          <w:rFonts w:cstheme="minorHAnsi"/>
          <w:b/>
        </w:rPr>
        <w:t xml:space="preserve">the course </w:t>
      </w:r>
      <w:r w:rsidR="00A6005D">
        <w:rPr>
          <w:rFonts w:cstheme="minorHAnsi"/>
          <w:b/>
        </w:rPr>
        <w:t>wa</w:t>
      </w:r>
      <w:r w:rsidR="008A2C44" w:rsidRPr="001A02B6">
        <w:rPr>
          <w:rFonts w:cstheme="minorHAnsi"/>
          <w:b/>
        </w:rPr>
        <w:t>s completed</w:t>
      </w:r>
      <w:r w:rsidRPr="001A02B6">
        <w:rPr>
          <w:rFonts w:cstheme="minorHAnsi"/>
        </w:rPr>
        <w:t xml:space="preserve"> to allow colleges to calculate an 18</w:t>
      </w:r>
      <w:r w:rsidR="00047F42" w:rsidRPr="001A02B6">
        <w:rPr>
          <w:rFonts w:cstheme="minorHAnsi"/>
        </w:rPr>
        <w:t>-</w:t>
      </w:r>
      <w:r w:rsidRPr="001A02B6">
        <w:rPr>
          <w:rFonts w:cstheme="minorHAnsi"/>
        </w:rPr>
        <w:t>month expiration date of placement.</w:t>
      </w:r>
    </w:p>
    <w:p w14:paraId="014940DC" w14:textId="77777777" w:rsidR="003C263E" w:rsidRPr="001A02B6" w:rsidRDefault="003C263E" w:rsidP="003C263E">
      <w:pPr>
        <w:pStyle w:val="ListParagraph"/>
        <w:rPr>
          <w:rFonts w:cstheme="minorHAnsi"/>
        </w:rPr>
      </w:pPr>
    </w:p>
    <w:p w14:paraId="29F8C2F5" w14:textId="77777777" w:rsidR="00F35E1E" w:rsidRDefault="003C263E" w:rsidP="00F35E1E">
      <w:pPr>
        <w:pStyle w:val="ListParagraph"/>
        <w:numPr>
          <w:ilvl w:val="0"/>
          <w:numId w:val="1"/>
        </w:numPr>
        <w:rPr>
          <w:rFonts w:cstheme="minorHAnsi"/>
        </w:rPr>
      </w:pPr>
      <w:r w:rsidRPr="001A02B6">
        <w:rPr>
          <w:rFonts w:cstheme="minorHAnsi"/>
        </w:rPr>
        <w:t xml:space="preserve">Colleges receiving information on a student’s portability code will grant the student the appropriate placement </w:t>
      </w:r>
      <w:r w:rsidRPr="00F35E1E">
        <w:rPr>
          <w:rFonts w:cstheme="minorHAnsi"/>
        </w:rPr>
        <w:t>based on the course pathway. The placement exempts a student from taking a placement test</w:t>
      </w:r>
      <w:r w:rsidR="000F47C8" w:rsidRPr="00F35E1E">
        <w:rPr>
          <w:rFonts w:cstheme="minorHAnsi"/>
        </w:rPr>
        <w:t xml:space="preserve"> at the community college</w:t>
      </w:r>
      <w:r w:rsidRPr="00F35E1E">
        <w:rPr>
          <w:rFonts w:cstheme="minorHAnsi"/>
        </w:rPr>
        <w:t>. However, students may voluntarily take a placement</w:t>
      </w:r>
      <w:r w:rsidR="00976310" w:rsidRPr="00F35E1E">
        <w:rPr>
          <w:rFonts w:cstheme="minorHAnsi"/>
        </w:rPr>
        <w:t xml:space="preserve"> test</w:t>
      </w:r>
      <w:r w:rsidRPr="00F35E1E">
        <w:rPr>
          <w:rFonts w:cstheme="minorHAnsi"/>
        </w:rPr>
        <w:t xml:space="preserve"> if they wish to place higher than the </w:t>
      </w:r>
      <w:r w:rsidR="000F47C8" w:rsidRPr="00F35E1E">
        <w:rPr>
          <w:rFonts w:cstheme="minorHAnsi"/>
        </w:rPr>
        <w:t>T</w:t>
      </w:r>
      <w:r w:rsidRPr="00F35E1E">
        <w:rPr>
          <w:rFonts w:cstheme="minorHAnsi"/>
        </w:rPr>
        <w:t xml:space="preserve">ransitional </w:t>
      </w:r>
      <w:r w:rsidR="000F47C8" w:rsidRPr="00F35E1E">
        <w:rPr>
          <w:rFonts w:cstheme="minorHAnsi"/>
        </w:rPr>
        <w:t xml:space="preserve">Math </w:t>
      </w:r>
      <w:r w:rsidRPr="00F35E1E">
        <w:rPr>
          <w:rFonts w:cstheme="minorHAnsi"/>
        </w:rPr>
        <w:t>placement would allow.</w:t>
      </w:r>
    </w:p>
    <w:p w14:paraId="2DFF47EB" w14:textId="77777777" w:rsidR="002B77A9" w:rsidRPr="0000713F" w:rsidRDefault="002B77A9" w:rsidP="002B77A9">
      <w:pPr>
        <w:jc w:val="center"/>
        <w:rPr>
          <w:b/>
          <w:sz w:val="24"/>
        </w:rPr>
      </w:pPr>
      <w:r>
        <w:rPr>
          <w:rFonts w:cstheme="minorHAnsi"/>
          <w:b/>
          <w:sz w:val="24"/>
        </w:rPr>
        <w:br w:type="page"/>
      </w:r>
      <w:r w:rsidRPr="0000713F">
        <w:rPr>
          <w:b/>
          <w:sz w:val="24"/>
        </w:rPr>
        <w:lastRenderedPageBreak/>
        <w:t>Course Approval Criteria</w:t>
      </w:r>
    </w:p>
    <w:p w14:paraId="3576CC7A" w14:textId="77777777" w:rsidR="002B77A9" w:rsidRPr="0000713F" w:rsidRDefault="002B77A9" w:rsidP="002B77A9">
      <w:pPr>
        <w:spacing w:after="0"/>
        <w:rPr>
          <w:i/>
        </w:rPr>
      </w:pPr>
      <w:r w:rsidRPr="0000713F">
        <w:rPr>
          <w:i/>
        </w:rPr>
        <w:t>Changed: May 1, 2019</w:t>
      </w:r>
      <w:r>
        <w:rPr>
          <w:i/>
        </w:rPr>
        <w:tab/>
      </w:r>
      <w:r>
        <w:rPr>
          <w:i/>
        </w:rPr>
        <w:tab/>
      </w:r>
      <w:r>
        <w:rPr>
          <w:i/>
        </w:rPr>
        <w:tab/>
      </w:r>
      <w:r>
        <w:rPr>
          <w:i/>
        </w:rPr>
        <w:tab/>
      </w:r>
      <w:r>
        <w:rPr>
          <w:i/>
        </w:rPr>
        <w:tab/>
      </w:r>
      <w:r>
        <w:rPr>
          <w:i/>
        </w:rPr>
        <w:tab/>
      </w:r>
      <w:r>
        <w:rPr>
          <w:i/>
        </w:rPr>
        <w:tab/>
      </w:r>
      <w:r>
        <w:rPr>
          <w:i/>
        </w:rPr>
        <w:tab/>
      </w:r>
      <w:r>
        <w:rPr>
          <w:i/>
        </w:rPr>
        <w:tab/>
      </w:r>
      <w:r w:rsidRPr="0000713F">
        <w:rPr>
          <w:i/>
        </w:rPr>
        <w:t>Effective: Fall 2019</w:t>
      </w:r>
    </w:p>
    <w:p w14:paraId="298F3073" w14:textId="77777777" w:rsidR="002B77A9" w:rsidRPr="004C389A" w:rsidRDefault="002B77A9" w:rsidP="002B77A9">
      <w:pPr>
        <w:spacing w:after="0"/>
        <w:rPr>
          <w:b/>
        </w:rPr>
      </w:pPr>
    </w:p>
    <w:p w14:paraId="7542743B" w14:textId="77777777" w:rsidR="002B77A9" w:rsidRPr="004C389A" w:rsidRDefault="002B77A9" w:rsidP="002B77A9">
      <w:r w:rsidRPr="004C389A">
        <w:t>For a course to be approved portable, it must include the following as required by the State.</w:t>
      </w:r>
    </w:p>
    <w:p w14:paraId="1171EE14" w14:textId="77777777" w:rsidR="002B77A9" w:rsidRPr="004C389A" w:rsidRDefault="002B77A9" w:rsidP="002B77A9">
      <w:pPr>
        <w:pStyle w:val="ListParagraph"/>
        <w:numPr>
          <w:ilvl w:val="0"/>
          <w:numId w:val="10"/>
        </w:numPr>
        <w:spacing w:line="240" w:lineRule="auto"/>
      </w:pPr>
      <w:r w:rsidRPr="004C389A">
        <w:t xml:space="preserve">Evidence that the process </w:t>
      </w:r>
      <w:r>
        <w:t xml:space="preserve">and content </w:t>
      </w:r>
      <w:r w:rsidRPr="004C389A">
        <w:t>competencies are met</w:t>
      </w:r>
    </w:p>
    <w:p w14:paraId="5AC72571" w14:textId="77777777" w:rsidR="002B77A9" w:rsidRPr="004C389A" w:rsidRDefault="002B77A9" w:rsidP="002B77A9">
      <w:pPr>
        <w:pStyle w:val="ListParagraph"/>
        <w:numPr>
          <w:ilvl w:val="0"/>
          <w:numId w:val="10"/>
        </w:numPr>
        <w:spacing w:line="240" w:lineRule="auto"/>
      </w:pPr>
      <w:r w:rsidRPr="004C389A">
        <w:t>Evidence that problem and/or project-based learning is used</w:t>
      </w:r>
    </w:p>
    <w:p w14:paraId="24F45863" w14:textId="77777777" w:rsidR="002B77A9" w:rsidRPr="004C389A" w:rsidRDefault="002B77A9" w:rsidP="002B77A9">
      <w:pPr>
        <w:pStyle w:val="ListParagraph"/>
        <w:numPr>
          <w:ilvl w:val="0"/>
          <w:numId w:val="10"/>
        </w:numPr>
        <w:spacing w:line="240" w:lineRule="auto"/>
      </w:pPr>
      <w:r w:rsidRPr="004C389A">
        <w:t>Evidence that the statewide policies are met</w:t>
      </w:r>
    </w:p>
    <w:tbl>
      <w:tblPr>
        <w:tblStyle w:val="TableGrid"/>
        <w:tblW w:w="9630" w:type="dxa"/>
        <w:tblInd w:w="355" w:type="dxa"/>
        <w:tblLook w:val="04A0" w:firstRow="1" w:lastRow="0" w:firstColumn="1" w:lastColumn="0" w:noHBand="0" w:noVBand="1"/>
      </w:tblPr>
      <w:tblGrid>
        <w:gridCol w:w="1949"/>
        <w:gridCol w:w="7681"/>
      </w:tblGrid>
      <w:tr w:rsidR="002B77A9" w14:paraId="016BFF95" w14:textId="77777777" w:rsidTr="00FD7E9B">
        <w:tc>
          <w:tcPr>
            <w:tcW w:w="1949" w:type="dxa"/>
            <w:shd w:val="clear" w:color="auto" w:fill="BFBFBF" w:themeFill="background1" w:themeFillShade="BF"/>
            <w:vAlign w:val="center"/>
          </w:tcPr>
          <w:p w14:paraId="4CEF9CDD" w14:textId="77777777" w:rsidR="002B77A9" w:rsidRPr="007921EA" w:rsidRDefault="002B77A9" w:rsidP="0011260A">
            <w:pPr>
              <w:jc w:val="center"/>
              <w:rPr>
                <w:b/>
                <w:sz w:val="24"/>
              </w:rPr>
            </w:pPr>
            <w:r>
              <w:rPr>
                <w:b/>
                <w:sz w:val="24"/>
              </w:rPr>
              <w:t>Item Required for Submission</w:t>
            </w:r>
          </w:p>
        </w:tc>
        <w:tc>
          <w:tcPr>
            <w:tcW w:w="7681" w:type="dxa"/>
            <w:shd w:val="clear" w:color="auto" w:fill="BFBFBF" w:themeFill="background1" w:themeFillShade="BF"/>
            <w:vAlign w:val="center"/>
          </w:tcPr>
          <w:p w14:paraId="1F61AE64" w14:textId="77777777" w:rsidR="002B77A9" w:rsidRPr="007921EA" w:rsidRDefault="002B77A9" w:rsidP="0011260A">
            <w:pPr>
              <w:jc w:val="center"/>
              <w:rPr>
                <w:b/>
                <w:sz w:val="24"/>
              </w:rPr>
            </w:pPr>
            <w:r>
              <w:rPr>
                <w:b/>
                <w:sz w:val="24"/>
              </w:rPr>
              <w:t>Criteria for Approval</w:t>
            </w:r>
          </w:p>
        </w:tc>
      </w:tr>
      <w:tr w:rsidR="002B77A9" w14:paraId="26DC0FFD" w14:textId="77777777" w:rsidTr="00FD7E9B">
        <w:tc>
          <w:tcPr>
            <w:tcW w:w="1949" w:type="dxa"/>
          </w:tcPr>
          <w:p w14:paraId="2738B506" w14:textId="77777777" w:rsidR="002B77A9" w:rsidRPr="00837E09" w:rsidRDefault="002B77A9" w:rsidP="0011260A">
            <w:pPr>
              <w:pStyle w:val="ListParagraph"/>
              <w:numPr>
                <w:ilvl w:val="0"/>
                <w:numId w:val="11"/>
              </w:numPr>
              <w:ind w:left="256" w:hanging="256"/>
              <w:rPr>
                <w:b/>
                <w:sz w:val="24"/>
              </w:rPr>
            </w:pPr>
            <w:r w:rsidRPr="00837E09">
              <w:rPr>
                <w:b/>
                <w:sz w:val="24"/>
              </w:rPr>
              <w:t>Memo of Understanding (MOU)</w:t>
            </w:r>
          </w:p>
        </w:tc>
        <w:tc>
          <w:tcPr>
            <w:tcW w:w="7681" w:type="dxa"/>
          </w:tcPr>
          <w:p w14:paraId="45855C01" w14:textId="77777777" w:rsidR="002B77A9" w:rsidRDefault="002B77A9" w:rsidP="0011260A">
            <w:pPr>
              <w:rPr>
                <w:color w:val="000000" w:themeColor="text1"/>
                <w:szCs w:val="24"/>
              </w:rPr>
            </w:pPr>
            <w:r>
              <w:rPr>
                <w:color w:val="000000" w:themeColor="text1"/>
                <w:szCs w:val="24"/>
              </w:rPr>
              <w:t>An MOU must be agreed upon by the partner high schools and the community colleges. Include a signed copy of the MOU from one of the high schools in the partnership.</w:t>
            </w:r>
          </w:p>
          <w:p w14:paraId="282779E1" w14:textId="77777777" w:rsidR="002B77A9" w:rsidRDefault="002B77A9" w:rsidP="0011260A">
            <w:pPr>
              <w:rPr>
                <w:color w:val="000000" w:themeColor="text1"/>
                <w:szCs w:val="24"/>
              </w:rPr>
            </w:pPr>
          </w:p>
          <w:p w14:paraId="0D7B70ED" w14:textId="77777777" w:rsidR="002B77A9" w:rsidRDefault="002B77A9" w:rsidP="0011260A">
            <w:pPr>
              <w:rPr>
                <w:color w:val="000000" w:themeColor="text1"/>
                <w:szCs w:val="24"/>
              </w:rPr>
            </w:pPr>
            <w:r w:rsidRPr="00B401ED">
              <w:rPr>
                <w:color w:val="000000" w:themeColor="text1"/>
                <w:szCs w:val="24"/>
              </w:rPr>
              <w:t xml:space="preserve">The MOU </w:t>
            </w:r>
            <w:r>
              <w:rPr>
                <w:color w:val="000000" w:themeColor="text1"/>
                <w:szCs w:val="24"/>
              </w:rPr>
              <w:t>must</w:t>
            </w:r>
            <w:r w:rsidRPr="00B401ED">
              <w:rPr>
                <w:color w:val="000000" w:themeColor="text1"/>
                <w:szCs w:val="24"/>
              </w:rPr>
              <w:t xml:space="preserve"> address all required statewide policies. Use of the </w:t>
            </w:r>
            <w:r>
              <w:rPr>
                <w:color w:val="000000" w:themeColor="text1"/>
                <w:szCs w:val="24"/>
              </w:rPr>
              <w:t xml:space="preserve">statewide </w:t>
            </w:r>
            <w:r w:rsidRPr="00B401ED">
              <w:rPr>
                <w:color w:val="000000" w:themeColor="text1"/>
                <w:szCs w:val="24"/>
              </w:rPr>
              <w:t>MOU template will simplify this process</w:t>
            </w:r>
            <w:r>
              <w:rPr>
                <w:color w:val="000000" w:themeColor="text1"/>
                <w:szCs w:val="24"/>
              </w:rPr>
              <w:t>; however, the statewide MOU template is not required</w:t>
            </w:r>
            <w:r w:rsidRPr="00B401ED">
              <w:rPr>
                <w:color w:val="000000" w:themeColor="text1"/>
                <w:szCs w:val="24"/>
              </w:rPr>
              <w:t>.</w:t>
            </w:r>
            <w:r>
              <w:rPr>
                <w:color w:val="000000" w:themeColor="text1"/>
                <w:szCs w:val="24"/>
              </w:rPr>
              <w:t xml:space="preserve"> MOUs must address the following components as required by the State:</w:t>
            </w:r>
          </w:p>
          <w:p w14:paraId="53A7F2D0" w14:textId="77777777" w:rsidR="002B77A9" w:rsidRDefault="002B77A9" w:rsidP="0011260A">
            <w:pPr>
              <w:pStyle w:val="ListParagraph"/>
              <w:numPr>
                <w:ilvl w:val="0"/>
                <w:numId w:val="8"/>
              </w:numPr>
              <w:rPr>
                <w:color w:val="000000" w:themeColor="text1"/>
                <w:szCs w:val="24"/>
              </w:rPr>
            </w:pPr>
            <w:r>
              <w:rPr>
                <w:color w:val="000000" w:themeColor="text1"/>
                <w:szCs w:val="24"/>
              </w:rPr>
              <w:t>Course offerings and locations</w:t>
            </w:r>
          </w:p>
          <w:p w14:paraId="6D1AF0AC" w14:textId="77777777" w:rsidR="002B77A9" w:rsidRDefault="002B77A9" w:rsidP="0011260A">
            <w:pPr>
              <w:pStyle w:val="ListParagraph"/>
              <w:numPr>
                <w:ilvl w:val="0"/>
                <w:numId w:val="8"/>
              </w:numPr>
              <w:rPr>
                <w:color w:val="000000" w:themeColor="text1"/>
                <w:szCs w:val="24"/>
              </w:rPr>
            </w:pPr>
            <w:r>
              <w:rPr>
                <w:color w:val="000000" w:themeColor="text1"/>
                <w:szCs w:val="24"/>
              </w:rPr>
              <w:t>Transitional math pathway outcome courses</w:t>
            </w:r>
          </w:p>
          <w:p w14:paraId="3D8FF1E4" w14:textId="77777777" w:rsidR="002B77A9" w:rsidRDefault="002B77A9" w:rsidP="0011260A">
            <w:pPr>
              <w:pStyle w:val="ListParagraph"/>
              <w:numPr>
                <w:ilvl w:val="0"/>
                <w:numId w:val="8"/>
              </w:numPr>
              <w:rPr>
                <w:color w:val="000000" w:themeColor="text1"/>
                <w:szCs w:val="24"/>
              </w:rPr>
            </w:pPr>
            <w:r>
              <w:rPr>
                <w:color w:val="000000" w:themeColor="text1"/>
                <w:szCs w:val="24"/>
              </w:rPr>
              <w:t>College enrollment</w:t>
            </w:r>
          </w:p>
          <w:p w14:paraId="563F97F6" w14:textId="77777777" w:rsidR="002B77A9" w:rsidRDefault="002B77A9" w:rsidP="0011260A">
            <w:pPr>
              <w:pStyle w:val="ListParagraph"/>
              <w:numPr>
                <w:ilvl w:val="0"/>
                <w:numId w:val="8"/>
              </w:numPr>
              <w:rPr>
                <w:color w:val="000000" w:themeColor="text1"/>
                <w:szCs w:val="24"/>
              </w:rPr>
            </w:pPr>
            <w:r>
              <w:rPr>
                <w:color w:val="000000" w:themeColor="text1"/>
                <w:szCs w:val="24"/>
              </w:rPr>
              <w:t>Teacher qualifications</w:t>
            </w:r>
          </w:p>
          <w:p w14:paraId="60B593EE" w14:textId="77777777" w:rsidR="002B77A9" w:rsidRDefault="002B77A9" w:rsidP="0011260A">
            <w:pPr>
              <w:pStyle w:val="ListParagraph"/>
              <w:numPr>
                <w:ilvl w:val="0"/>
                <w:numId w:val="8"/>
              </w:numPr>
              <w:rPr>
                <w:color w:val="000000" w:themeColor="text1"/>
                <w:szCs w:val="24"/>
              </w:rPr>
            </w:pPr>
            <w:r>
              <w:rPr>
                <w:color w:val="000000" w:themeColor="text1"/>
                <w:szCs w:val="24"/>
              </w:rPr>
              <w:t>Professional development</w:t>
            </w:r>
          </w:p>
          <w:p w14:paraId="30F8E9F4" w14:textId="77777777" w:rsidR="002B77A9" w:rsidRDefault="002B77A9" w:rsidP="0011260A">
            <w:pPr>
              <w:pStyle w:val="ListParagraph"/>
              <w:numPr>
                <w:ilvl w:val="0"/>
                <w:numId w:val="8"/>
              </w:numPr>
              <w:rPr>
                <w:color w:val="000000" w:themeColor="text1"/>
                <w:szCs w:val="24"/>
              </w:rPr>
            </w:pPr>
            <w:r>
              <w:rPr>
                <w:color w:val="000000" w:themeColor="text1"/>
                <w:szCs w:val="24"/>
              </w:rPr>
              <w:t>Student qualifications</w:t>
            </w:r>
          </w:p>
          <w:p w14:paraId="5833FCF9" w14:textId="77777777" w:rsidR="002B77A9" w:rsidRDefault="002B77A9" w:rsidP="0011260A">
            <w:pPr>
              <w:pStyle w:val="ListParagraph"/>
              <w:numPr>
                <w:ilvl w:val="0"/>
                <w:numId w:val="8"/>
              </w:numPr>
              <w:rPr>
                <w:color w:val="000000" w:themeColor="text1"/>
                <w:szCs w:val="24"/>
              </w:rPr>
            </w:pPr>
            <w:r>
              <w:rPr>
                <w:color w:val="000000" w:themeColor="text1"/>
                <w:szCs w:val="24"/>
              </w:rPr>
              <w:t>Advising supports</w:t>
            </w:r>
          </w:p>
          <w:p w14:paraId="5D7CB34C" w14:textId="77777777" w:rsidR="002B77A9" w:rsidRDefault="002B77A9" w:rsidP="0011260A">
            <w:pPr>
              <w:pStyle w:val="ListParagraph"/>
              <w:numPr>
                <w:ilvl w:val="0"/>
                <w:numId w:val="8"/>
              </w:numPr>
              <w:rPr>
                <w:color w:val="000000" w:themeColor="text1"/>
                <w:szCs w:val="24"/>
              </w:rPr>
            </w:pPr>
            <w:r>
              <w:rPr>
                <w:color w:val="000000" w:themeColor="text1"/>
                <w:szCs w:val="24"/>
              </w:rPr>
              <w:t>Rigor and standards including grading and assessment</w:t>
            </w:r>
          </w:p>
          <w:p w14:paraId="13F75875" w14:textId="77777777" w:rsidR="002B77A9" w:rsidRDefault="002B77A9" w:rsidP="0011260A">
            <w:pPr>
              <w:pStyle w:val="ListParagraph"/>
              <w:numPr>
                <w:ilvl w:val="0"/>
                <w:numId w:val="8"/>
              </w:numPr>
              <w:rPr>
                <w:color w:val="000000" w:themeColor="text1"/>
                <w:szCs w:val="24"/>
              </w:rPr>
            </w:pPr>
            <w:r>
              <w:rPr>
                <w:color w:val="000000" w:themeColor="text1"/>
                <w:szCs w:val="24"/>
              </w:rPr>
              <w:t>Transcripted placement</w:t>
            </w:r>
          </w:p>
          <w:p w14:paraId="13093EEC" w14:textId="77777777" w:rsidR="002B77A9" w:rsidRDefault="002B77A9" w:rsidP="0011260A">
            <w:pPr>
              <w:pStyle w:val="ListParagraph"/>
              <w:numPr>
                <w:ilvl w:val="0"/>
                <w:numId w:val="8"/>
              </w:numPr>
              <w:rPr>
                <w:color w:val="000000" w:themeColor="text1"/>
                <w:szCs w:val="24"/>
              </w:rPr>
            </w:pPr>
            <w:r>
              <w:rPr>
                <w:color w:val="000000" w:themeColor="text1"/>
                <w:szCs w:val="24"/>
              </w:rPr>
              <w:t>Portability information</w:t>
            </w:r>
          </w:p>
          <w:p w14:paraId="64BFA2F9" w14:textId="77777777" w:rsidR="002B77A9" w:rsidRPr="00AA1B43" w:rsidRDefault="002B77A9" w:rsidP="0011260A"/>
        </w:tc>
      </w:tr>
      <w:tr w:rsidR="002B77A9" w14:paraId="7D27A7AA" w14:textId="77777777" w:rsidTr="00FD7E9B">
        <w:tc>
          <w:tcPr>
            <w:tcW w:w="1949" w:type="dxa"/>
          </w:tcPr>
          <w:p w14:paraId="635E151B" w14:textId="77777777" w:rsidR="002B77A9" w:rsidRPr="00837E09" w:rsidRDefault="002B77A9" w:rsidP="0011260A">
            <w:pPr>
              <w:pStyle w:val="ListParagraph"/>
              <w:numPr>
                <w:ilvl w:val="0"/>
                <w:numId w:val="11"/>
              </w:numPr>
              <w:ind w:left="256" w:hanging="256"/>
              <w:rPr>
                <w:b/>
                <w:sz w:val="24"/>
              </w:rPr>
            </w:pPr>
            <w:r>
              <w:rPr>
                <w:b/>
                <w:sz w:val="24"/>
              </w:rPr>
              <w:t>Transitional Math Syllabus</w:t>
            </w:r>
          </w:p>
        </w:tc>
        <w:tc>
          <w:tcPr>
            <w:tcW w:w="7681" w:type="dxa"/>
          </w:tcPr>
          <w:p w14:paraId="2B5C8F7E" w14:textId="554B30C1" w:rsidR="002B77A9" w:rsidRPr="00571D13" w:rsidRDefault="002B77A9" w:rsidP="0011260A">
            <w:r w:rsidRPr="00571D13">
              <w:t>A course syllabus should be completed by each high school for each pathway offered. A template is provided on the transitional math website with the following information.</w:t>
            </w:r>
            <w:r w:rsidR="00DE6DBC">
              <w:t xml:space="preserve">  </w:t>
            </w:r>
          </w:p>
          <w:p w14:paraId="18F990B8" w14:textId="77777777" w:rsidR="002B77A9" w:rsidRDefault="002B77A9" w:rsidP="0011260A">
            <w:pPr>
              <w:rPr>
                <w:b/>
                <w:sz w:val="24"/>
              </w:rPr>
            </w:pPr>
          </w:p>
          <w:p w14:paraId="3931A24F" w14:textId="77777777" w:rsidR="002B77A9" w:rsidRDefault="002B77A9" w:rsidP="0011260A">
            <w:pPr>
              <w:rPr>
                <w:b/>
                <w:sz w:val="24"/>
              </w:rPr>
            </w:pPr>
            <w:r>
              <w:rPr>
                <w:b/>
                <w:sz w:val="24"/>
              </w:rPr>
              <w:t>Course Information</w:t>
            </w:r>
          </w:p>
          <w:p w14:paraId="402C84C5" w14:textId="77777777" w:rsidR="002B77A9" w:rsidRPr="00571D13" w:rsidRDefault="002B77A9" w:rsidP="0011260A">
            <w:r w:rsidRPr="00571D13">
              <w:t>State the course name chosen by the high school that aligns with the ISBE SIS code naming. Additionally, state the course pathway, ISBE SIS code, portability code, and course duration.</w:t>
            </w:r>
          </w:p>
          <w:p w14:paraId="06EE4BC4" w14:textId="77777777" w:rsidR="002B77A9" w:rsidRDefault="002B77A9" w:rsidP="0011260A">
            <w:pPr>
              <w:rPr>
                <w:sz w:val="24"/>
              </w:rPr>
            </w:pPr>
          </w:p>
          <w:p w14:paraId="7EDD5BA4" w14:textId="77777777" w:rsidR="002B77A9" w:rsidRPr="00571D13" w:rsidRDefault="002B77A9" w:rsidP="0011260A">
            <w:pPr>
              <w:rPr>
                <w:b/>
                <w:sz w:val="24"/>
              </w:rPr>
            </w:pPr>
            <w:r w:rsidRPr="00571D13">
              <w:rPr>
                <w:b/>
                <w:sz w:val="24"/>
              </w:rPr>
              <w:t>Contact Information</w:t>
            </w:r>
          </w:p>
          <w:p w14:paraId="0D11A0B0" w14:textId="59E1A322" w:rsidR="002B77A9" w:rsidRPr="00571D13" w:rsidRDefault="002B77A9" w:rsidP="0011260A">
            <w:pPr>
              <w:rPr>
                <w:b/>
              </w:rPr>
            </w:pPr>
            <w:r w:rsidRPr="00571D13">
              <w:t>State the teacher’s name</w:t>
            </w:r>
            <w:r w:rsidR="002320DF">
              <w:t xml:space="preserve"> and</w:t>
            </w:r>
            <w:r w:rsidRPr="00571D13">
              <w:t xml:space="preserve"> email and </w:t>
            </w:r>
            <w:r w:rsidR="002320DF">
              <w:t xml:space="preserve">the high school </w:t>
            </w:r>
            <w:r w:rsidRPr="00571D13">
              <w:t>phone number. Include the names of the high school and partner community college.</w:t>
            </w:r>
          </w:p>
          <w:p w14:paraId="784E2805" w14:textId="77777777" w:rsidR="002B77A9" w:rsidRDefault="002B77A9" w:rsidP="0011260A">
            <w:pPr>
              <w:rPr>
                <w:b/>
                <w:sz w:val="24"/>
              </w:rPr>
            </w:pPr>
          </w:p>
          <w:p w14:paraId="69624ED6" w14:textId="77777777" w:rsidR="002B77A9" w:rsidRDefault="002B77A9" w:rsidP="0011260A">
            <w:pPr>
              <w:rPr>
                <w:b/>
                <w:sz w:val="24"/>
              </w:rPr>
            </w:pPr>
            <w:r>
              <w:rPr>
                <w:b/>
                <w:sz w:val="24"/>
              </w:rPr>
              <w:t>Course Description</w:t>
            </w:r>
          </w:p>
          <w:p w14:paraId="7B774DDE" w14:textId="77777777" w:rsidR="002B77A9" w:rsidRDefault="002B77A9" w:rsidP="0011260A">
            <w:r>
              <w:t>Include the course description from the ISBE course catalog.</w:t>
            </w:r>
          </w:p>
          <w:p w14:paraId="2AF32D98" w14:textId="77777777" w:rsidR="002B77A9" w:rsidRPr="00571D13" w:rsidRDefault="002B77A9" w:rsidP="0011260A"/>
          <w:p w14:paraId="4E28E215" w14:textId="77777777" w:rsidR="002B77A9" w:rsidRDefault="002B77A9" w:rsidP="0011260A">
            <w:pPr>
              <w:rPr>
                <w:b/>
                <w:sz w:val="24"/>
              </w:rPr>
            </w:pPr>
            <w:r>
              <w:rPr>
                <w:b/>
                <w:sz w:val="24"/>
              </w:rPr>
              <w:t>Evaluation</w:t>
            </w:r>
          </w:p>
          <w:p w14:paraId="11760C82" w14:textId="77777777" w:rsidR="002B77A9" w:rsidRDefault="002B77A9" w:rsidP="0011260A">
            <w:pPr>
              <w:rPr>
                <w:color w:val="000000" w:themeColor="text1"/>
              </w:rPr>
            </w:pPr>
            <w:r>
              <w:rPr>
                <w:color w:val="000000" w:themeColor="text1"/>
              </w:rPr>
              <w:t>Course evaluation methods must meet the agreed upon grading structure in the MOU.</w:t>
            </w:r>
          </w:p>
          <w:p w14:paraId="78CA98A3" w14:textId="77777777" w:rsidR="002B77A9" w:rsidRDefault="002B77A9" w:rsidP="0011260A">
            <w:pPr>
              <w:pStyle w:val="ListParagraph"/>
              <w:numPr>
                <w:ilvl w:val="0"/>
                <w:numId w:val="7"/>
              </w:numPr>
              <w:rPr>
                <w:color w:val="000000" w:themeColor="text1"/>
              </w:rPr>
            </w:pPr>
            <w:r>
              <w:rPr>
                <w:color w:val="000000" w:themeColor="text1"/>
              </w:rPr>
              <w:t>Include specific information on grading and assessment.</w:t>
            </w:r>
          </w:p>
          <w:p w14:paraId="0F4E9503" w14:textId="68F67378" w:rsidR="002B77A9" w:rsidRDefault="002B77A9" w:rsidP="0011260A">
            <w:pPr>
              <w:rPr>
                <w:b/>
                <w:sz w:val="24"/>
              </w:rPr>
            </w:pPr>
          </w:p>
          <w:p w14:paraId="51B89FE1" w14:textId="32DA5A0C" w:rsidR="00A6005D" w:rsidRDefault="00A6005D" w:rsidP="0011260A">
            <w:pPr>
              <w:rPr>
                <w:b/>
                <w:sz w:val="24"/>
              </w:rPr>
            </w:pPr>
          </w:p>
          <w:p w14:paraId="7DBD59FE" w14:textId="77777777" w:rsidR="00A6005D" w:rsidRDefault="00A6005D" w:rsidP="0011260A">
            <w:pPr>
              <w:rPr>
                <w:b/>
                <w:sz w:val="24"/>
              </w:rPr>
            </w:pPr>
          </w:p>
          <w:p w14:paraId="54B747DD" w14:textId="77777777" w:rsidR="002B77A9" w:rsidRDefault="002B77A9" w:rsidP="0011260A">
            <w:pPr>
              <w:rPr>
                <w:b/>
                <w:sz w:val="24"/>
              </w:rPr>
            </w:pPr>
            <w:r>
              <w:rPr>
                <w:b/>
                <w:sz w:val="24"/>
              </w:rPr>
              <w:lastRenderedPageBreak/>
              <w:t>Course Materials</w:t>
            </w:r>
          </w:p>
          <w:p w14:paraId="164CD6D5" w14:textId="77777777" w:rsidR="002B77A9" w:rsidRPr="00966624" w:rsidRDefault="002B77A9" w:rsidP="0011260A">
            <w:pPr>
              <w:rPr>
                <w:color w:val="000000" w:themeColor="text1"/>
              </w:rPr>
            </w:pPr>
            <w:r w:rsidRPr="00966624">
              <w:rPr>
                <w:color w:val="000000" w:themeColor="text1"/>
              </w:rPr>
              <w:t>Course materials must support the competencies of a transitional math course.</w:t>
            </w:r>
          </w:p>
          <w:p w14:paraId="13765B64" w14:textId="77777777" w:rsidR="00966624" w:rsidRPr="00966624" w:rsidRDefault="00966624" w:rsidP="00966624">
            <w:pPr>
              <w:pStyle w:val="ListParagraph"/>
              <w:numPr>
                <w:ilvl w:val="0"/>
                <w:numId w:val="7"/>
              </w:numPr>
            </w:pPr>
            <w:r w:rsidRPr="00966624">
              <w:t xml:space="preserve">Include information on learning resources that are </w:t>
            </w:r>
            <w:r w:rsidRPr="00966624">
              <w:rPr>
                <w:u w:val="single"/>
              </w:rPr>
              <w:t>required and most frequently used</w:t>
            </w:r>
            <w:r w:rsidRPr="00966624">
              <w:t xml:space="preserve"> such as textbooks, statewide resources, open educational resources (include links when feasible), etc.</w:t>
            </w:r>
          </w:p>
          <w:p w14:paraId="035F2A3F" w14:textId="77777777" w:rsidR="002B77A9" w:rsidRDefault="002B77A9" w:rsidP="0011260A">
            <w:pPr>
              <w:rPr>
                <w:b/>
                <w:sz w:val="24"/>
              </w:rPr>
            </w:pPr>
          </w:p>
          <w:p w14:paraId="74E4708D" w14:textId="77777777" w:rsidR="002B77A9" w:rsidRDefault="002B77A9" w:rsidP="0011260A">
            <w:pPr>
              <w:rPr>
                <w:b/>
                <w:sz w:val="24"/>
              </w:rPr>
            </w:pPr>
            <w:r>
              <w:rPr>
                <w:b/>
                <w:sz w:val="24"/>
              </w:rPr>
              <w:t>Course Units of Study</w:t>
            </w:r>
          </w:p>
          <w:p w14:paraId="7ABEBDDE" w14:textId="77777777" w:rsidR="002B77A9" w:rsidRDefault="002B77A9" w:rsidP="0011260A">
            <w:pPr>
              <w:rPr>
                <w:color w:val="000000" w:themeColor="text1"/>
              </w:rPr>
            </w:pPr>
            <w:r w:rsidRPr="00E152B3">
              <w:rPr>
                <w:color w:val="000000" w:themeColor="text1"/>
              </w:rPr>
              <w:t>Units of study describe the organization of all the competencies and key performance indicators for the pathway as well as the required emphasis on problem/project-based learning.</w:t>
            </w:r>
          </w:p>
          <w:p w14:paraId="0286D62D" w14:textId="52B22EB4" w:rsidR="002B77A9" w:rsidRPr="00E152B3" w:rsidRDefault="002B77A9" w:rsidP="0011260A">
            <w:pPr>
              <w:pStyle w:val="ListParagraph"/>
              <w:numPr>
                <w:ilvl w:val="0"/>
                <w:numId w:val="7"/>
              </w:numPr>
              <w:rPr>
                <w:b/>
                <w:color w:val="000000" w:themeColor="text1"/>
                <w:sz w:val="24"/>
              </w:rPr>
            </w:pPr>
            <w:r w:rsidRPr="00E152B3">
              <w:rPr>
                <w:color w:val="000000" w:themeColor="text1"/>
              </w:rPr>
              <w:t xml:space="preserve">Include a detailed </w:t>
            </w:r>
            <w:r w:rsidR="00DE6DBC">
              <w:rPr>
                <w:color w:val="000000" w:themeColor="text1"/>
              </w:rPr>
              <w:t xml:space="preserve">topical </w:t>
            </w:r>
            <w:r w:rsidRPr="00E152B3">
              <w:rPr>
                <w:color w:val="000000" w:themeColor="text1"/>
              </w:rPr>
              <w:t>outline for each unit of instruction</w:t>
            </w:r>
          </w:p>
          <w:p w14:paraId="09D33ED0" w14:textId="77777777" w:rsidR="002B77A9" w:rsidRDefault="002B77A9" w:rsidP="0011260A">
            <w:pPr>
              <w:rPr>
                <w:b/>
                <w:sz w:val="24"/>
              </w:rPr>
            </w:pPr>
          </w:p>
          <w:p w14:paraId="081D6977" w14:textId="77777777" w:rsidR="002B77A9" w:rsidRDefault="002B77A9" w:rsidP="0011260A">
            <w:r w:rsidRPr="00837E09">
              <w:rPr>
                <w:b/>
                <w:sz w:val="24"/>
              </w:rPr>
              <w:t xml:space="preserve">Process Competencies </w:t>
            </w:r>
          </w:p>
          <w:p w14:paraId="6B63B1AA" w14:textId="77777777" w:rsidR="002B77A9" w:rsidRPr="00F51390" w:rsidRDefault="002B77A9" w:rsidP="0011260A">
            <w:r w:rsidRPr="00AA1B43">
              <w:t>Transitional courses are intended to help students develop conceptual understanding and problem-</w:t>
            </w:r>
            <w:r w:rsidRPr="00F51390">
              <w:t xml:space="preserve">solving ability as well as college and career readiness. To that end, the courses include process competencies related to mathematical and student success. While these competencies are not assessed directly, they should be a part of instruction and assessed indirectly. See page 6 in the </w:t>
            </w:r>
            <w:r w:rsidRPr="004C389A">
              <w:rPr>
                <w:i/>
              </w:rPr>
              <w:t>Competencies and Policies Document</w:t>
            </w:r>
            <w:r w:rsidRPr="00F51390">
              <w:t xml:space="preserve"> for more information.</w:t>
            </w:r>
          </w:p>
          <w:p w14:paraId="6AA3C796" w14:textId="77777777" w:rsidR="002B77A9" w:rsidRPr="00571D13" w:rsidRDefault="002B77A9" w:rsidP="0011260A">
            <w:pPr>
              <w:pStyle w:val="ListParagraph"/>
              <w:numPr>
                <w:ilvl w:val="0"/>
                <w:numId w:val="7"/>
              </w:numPr>
            </w:pPr>
            <w:r w:rsidRPr="00571D13">
              <w:t xml:space="preserve">Provide evidence illustrating how this criterion is being met. Evidence should address how the process competencies as well as the standards for mathematical practice are included </w:t>
            </w:r>
            <w:r w:rsidRPr="00571D13">
              <w:rPr>
                <w:u w:val="single"/>
              </w:rPr>
              <w:t>throughout</w:t>
            </w:r>
            <w:r w:rsidRPr="00571D13">
              <w:t xml:space="preserve"> the course. Include a narrative describing how this criterion is met </w:t>
            </w:r>
            <w:r w:rsidRPr="00571D13">
              <w:rPr>
                <w:u w:val="single"/>
              </w:rPr>
              <w:t>in your own words</w:t>
            </w:r>
            <w:r w:rsidRPr="00571D13">
              <w:t>.</w:t>
            </w:r>
          </w:p>
          <w:p w14:paraId="282CAFF8" w14:textId="77777777" w:rsidR="002B77A9" w:rsidRDefault="002B77A9" w:rsidP="0011260A">
            <w:pPr>
              <w:ind w:left="360"/>
              <w:rPr>
                <w:sz w:val="24"/>
              </w:rPr>
            </w:pPr>
          </w:p>
          <w:p w14:paraId="556774D7" w14:textId="77777777" w:rsidR="002B77A9" w:rsidRDefault="002B77A9" w:rsidP="0011260A">
            <w:pPr>
              <w:rPr>
                <w:b/>
                <w:sz w:val="24"/>
              </w:rPr>
            </w:pPr>
            <w:r w:rsidRPr="00837E09">
              <w:rPr>
                <w:b/>
                <w:sz w:val="24"/>
              </w:rPr>
              <w:t>Problem/Project-based Learning</w:t>
            </w:r>
          </w:p>
          <w:p w14:paraId="7CFA3B56" w14:textId="77777777" w:rsidR="002B77A9" w:rsidRPr="00E152B3" w:rsidRDefault="002B77A9" w:rsidP="0011260A">
            <w:pPr>
              <w:rPr>
                <w:color w:val="000000" w:themeColor="text1"/>
              </w:rPr>
            </w:pPr>
            <w:r w:rsidRPr="00F51390">
              <w:t>Transitional math instruction provides students with the mathematical knowledge and skills to meet their individualized college and career goals and to be successful in college-level math courses, while aligning with the Illinois Learning Standards.</w:t>
            </w:r>
            <w:r>
              <w:t xml:space="preserve"> These</w:t>
            </w:r>
            <w:r w:rsidRPr="00F51390">
              <w:t xml:space="preserve"> courses work to address the gaps in understanding by working on bigger problems, emphasizing problem-based learning and projects, communication, and integration of concepts, not just skill acquisition. Contexts used should be authentic whenever possible and apply to the </w:t>
            </w:r>
            <w:r w:rsidRPr="00E152B3">
              <w:rPr>
                <w:color w:val="000000" w:themeColor="text1"/>
              </w:rPr>
              <w:t>student’s college or career path.</w:t>
            </w:r>
          </w:p>
          <w:p w14:paraId="1D3AB3EA" w14:textId="77777777" w:rsidR="00BA7FC0" w:rsidRPr="00BA7FC0" w:rsidRDefault="002B77A9" w:rsidP="00BA7FC0">
            <w:pPr>
              <w:pStyle w:val="ListParagraph"/>
              <w:numPr>
                <w:ilvl w:val="0"/>
                <w:numId w:val="7"/>
              </w:numPr>
              <w:rPr>
                <w:color w:val="000000" w:themeColor="text1"/>
              </w:rPr>
            </w:pPr>
            <w:r w:rsidRPr="00E152B3">
              <w:rPr>
                <w:color w:val="000000" w:themeColor="text1"/>
              </w:rPr>
              <w:t xml:space="preserve">Provide evidence illustrating how this criterion is being met. Evidence should address how the process competencies as well as the standards for mathematical practice are included </w:t>
            </w:r>
            <w:r w:rsidRPr="00E152B3">
              <w:rPr>
                <w:color w:val="000000" w:themeColor="text1"/>
                <w:u w:val="single"/>
              </w:rPr>
              <w:t>throughout</w:t>
            </w:r>
            <w:r w:rsidRPr="00E152B3">
              <w:rPr>
                <w:color w:val="000000" w:themeColor="text1"/>
              </w:rPr>
              <w:t xml:space="preserve"> the course. Include a narrative describing how this criterion is met </w:t>
            </w:r>
            <w:r w:rsidRPr="00E152B3">
              <w:rPr>
                <w:color w:val="000000" w:themeColor="text1"/>
                <w:u w:val="single"/>
              </w:rPr>
              <w:t>in your own words</w:t>
            </w:r>
            <w:r w:rsidRPr="00E152B3">
              <w:rPr>
                <w:color w:val="000000" w:themeColor="text1"/>
              </w:rPr>
              <w:t>.</w:t>
            </w:r>
            <w:r w:rsidR="00BA7FC0">
              <w:rPr>
                <w:color w:val="000000" w:themeColor="text1"/>
              </w:rPr>
              <w:t xml:space="preserve"> </w:t>
            </w:r>
            <w:r w:rsidR="00BA7FC0" w:rsidRPr="00BA7FC0">
              <w:rPr>
                <w:color w:val="000000" w:themeColor="text1"/>
              </w:rPr>
              <w:t xml:space="preserve">Also, include a </w:t>
            </w:r>
            <w:r w:rsidR="00BA7FC0" w:rsidRPr="002320DF">
              <w:rPr>
                <w:color w:val="000000" w:themeColor="text1"/>
                <w:u w:val="single"/>
              </w:rPr>
              <w:t>sample problem or project</w:t>
            </w:r>
            <w:r w:rsidR="00BA7FC0" w:rsidRPr="00BA7FC0">
              <w:rPr>
                <w:color w:val="000000" w:themeColor="text1"/>
              </w:rPr>
              <w:t>.</w:t>
            </w:r>
          </w:p>
          <w:p w14:paraId="2D785A29" w14:textId="77777777" w:rsidR="002B77A9" w:rsidRPr="00E152B3" w:rsidRDefault="002B77A9" w:rsidP="0011260A">
            <w:pPr>
              <w:pStyle w:val="ListParagraph"/>
              <w:rPr>
                <w:sz w:val="24"/>
              </w:rPr>
            </w:pPr>
          </w:p>
        </w:tc>
      </w:tr>
      <w:tr w:rsidR="002B77A9" w14:paraId="0C50DBCF" w14:textId="77777777" w:rsidTr="00FD7E9B">
        <w:tc>
          <w:tcPr>
            <w:tcW w:w="1949" w:type="dxa"/>
          </w:tcPr>
          <w:p w14:paraId="75581D9D" w14:textId="77777777" w:rsidR="002B77A9" w:rsidRPr="00837E09" w:rsidRDefault="002B77A9" w:rsidP="0011260A">
            <w:pPr>
              <w:pStyle w:val="ListParagraph"/>
              <w:numPr>
                <w:ilvl w:val="0"/>
                <w:numId w:val="11"/>
              </w:numPr>
              <w:ind w:left="240" w:hanging="270"/>
              <w:rPr>
                <w:b/>
                <w:sz w:val="24"/>
              </w:rPr>
            </w:pPr>
            <w:r>
              <w:rPr>
                <w:b/>
                <w:sz w:val="24"/>
              </w:rPr>
              <w:lastRenderedPageBreak/>
              <w:t>Content Competencies spreadsheet</w:t>
            </w:r>
          </w:p>
        </w:tc>
        <w:tc>
          <w:tcPr>
            <w:tcW w:w="7681" w:type="dxa"/>
          </w:tcPr>
          <w:p w14:paraId="50750FCA" w14:textId="220F6265" w:rsidR="002B77A9" w:rsidRPr="00571D13" w:rsidRDefault="002B77A9" w:rsidP="0011260A">
            <w:r w:rsidRPr="00571D13">
              <w:t xml:space="preserve">A </w:t>
            </w:r>
            <w:r>
              <w:t>content competencies spreadsheet</w:t>
            </w:r>
            <w:r w:rsidRPr="00571D13">
              <w:t xml:space="preserve"> should be completed by each high school for each pathway offered. A template is provided on the transitional math website.</w:t>
            </w:r>
            <w:r w:rsidR="002320DF">
              <w:t xml:space="preserve"> </w:t>
            </w:r>
          </w:p>
          <w:p w14:paraId="35EB86AF" w14:textId="77777777" w:rsidR="002B77A9" w:rsidRDefault="002B77A9" w:rsidP="0011260A"/>
          <w:p w14:paraId="279ABA4C" w14:textId="16063655" w:rsidR="002B77A9" w:rsidRDefault="002320DF" w:rsidP="0011260A">
            <w:r w:rsidRPr="002320DF">
              <w:rPr>
                <w:u w:val="single"/>
              </w:rPr>
              <w:t>Every</w:t>
            </w:r>
            <w:r w:rsidR="002B77A9" w:rsidRPr="005261F9">
              <w:t xml:space="preserve"> content competency </w:t>
            </w:r>
            <w:r w:rsidR="002B77A9">
              <w:t xml:space="preserve">and key performance indicator </w:t>
            </w:r>
            <w:r w:rsidR="002B77A9" w:rsidRPr="005261F9">
              <w:t>for a pathway should be addressed in the course.</w:t>
            </w:r>
          </w:p>
          <w:p w14:paraId="75E9BD76" w14:textId="77777777" w:rsidR="002B77A9" w:rsidRPr="005261F9" w:rsidRDefault="002B77A9" w:rsidP="0011260A"/>
          <w:p w14:paraId="23165F7D" w14:textId="6EA5B64C" w:rsidR="002B77A9" w:rsidRDefault="002B77A9" w:rsidP="0011260A">
            <w:pPr>
              <w:pStyle w:val="ListParagraph"/>
              <w:numPr>
                <w:ilvl w:val="0"/>
                <w:numId w:val="7"/>
              </w:numPr>
            </w:pPr>
            <w:r w:rsidRPr="005261F9">
              <w:t>Provide a completed</w:t>
            </w:r>
            <w:r>
              <w:t xml:space="preserve"> content competencies spreadsheet </w:t>
            </w:r>
            <w:r w:rsidRPr="005261F9">
              <w:t xml:space="preserve">illustrating where each competency </w:t>
            </w:r>
            <w:r w:rsidR="002320DF">
              <w:t xml:space="preserve">and key performance indicator </w:t>
            </w:r>
            <w:r w:rsidRPr="005261F9">
              <w:t>is met in the course.</w:t>
            </w:r>
            <w:r>
              <w:t xml:space="preserve"> </w:t>
            </w:r>
          </w:p>
          <w:p w14:paraId="2C5A0F8F" w14:textId="77777777" w:rsidR="002B77A9" w:rsidRDefault="002B77A9" w:rsidP="0011260A"/>
          <w:p w14:paraId="1613AFED" w14:textId="77777777" w:rsidR="002B77A9" w:rsidRPr="00E152B3" w:rsidRDefault="002B77A9" w:rsidP="0011260A">
            <w:pPr>
              <w:rPr>
                <w:sz w:val="24"/>
              </w:rPr>
            </w:pPr>
          </w:p>
        </w:tc>
      </w:tr>
    </w:tbl>
    <w:p w14:paraId="150D5D55" w14:textId="77777777" w:rsidR="002B77A9" w:rsidRDefault="002B77A9" w:rsidP="002B77A9"/>
    <w:p w14:paraId="3CC24425" w14:textId="48441304" w:rsidR="002B77A9" w:rsidRDefault="002B77A9" w:rsidP="002B77A9">
      <w:pPr>
        <w:spacing w:after="0"/>
        <w:rPr>
          <w:rFonts w:cstheme="minorHAnsi"/>
        </w:rPr>
      </w:pPr>
    </w:p>
    <w:p w14:paraId="769A551E" w14:textId="77777777" w:rsidR="0078484F" w:rsidRPr="001A02B6" w:rsidRDefault="0078484F" w:rsidP="002B77A9">
      <w:pPr>
        <w:spacing w:after="0"/>
        <w:rPr>
          <w:rFonts w:cstheme="minorHAnsi"/>
        </w:rPr>
      </w:pPr>
    </w:p>
    <w:p w14:paraId="6EDF5057" w14:textId="5F5B27CB" w:rsidR="00D52F95" w:rsidRPr="001A02B6" w:rsidRDefault="00D52F95" w:rsidP="00BC2356">
      <w:pPr>
        <w:jc w:val="center"/>
        <w:rPr>
          <w:rFonts w:cstheme="minorHAnsi"/>
          <w:b/>
          <w:sz w:val="24"/>
        </w:rPr>
      </w:pPr>
      <w:r w:rsidRPr="001A02B6">
        <w:rPr>
          <w:rFonts w:cstheme="minorHAnsi"/>
          <w:b/>
          <w:sz w:val="24"/>
        </w:rPr>
        <w:lastRenderedPageBreak/>
        <w:t>Portability Submission Process</w:t>
      </w:r>
    </w:p>
    <w:p w14:paraId="49E031C0" w14:textId="4E040FFB" w:rsidR="00D52F95" w:rsidRPr="001A02B6" w:rsidRDefault="00BC2356" w:rsidP="00D52F95">
      <w:pPr>
        <w:rPr>
          <w:rFonts w:cstheme="minorHAnsi"/>
        </w:rPr>
      </w:pPr>
      <w:r w:rsidRPr="001A02B6">
        <w:rPr>
          <w:rFonts w:cstheme="minorHAnsi"/>
        </w:rPr>
        <w:t>The following steps should be completed a</w:t>
      </w:r>
      <w:r w:rsidR="00D52F95" w:rsidRPr="001A02B6">
        <w:rPr>
          <w:rFonts w:cstheme="minorHAnsi"/>
        </w:rPr>
        <w:t>fter the Local Advisory Panel has completed the review of courses in the partnership for portability</w:t>
      </w:r>
      <w:r w:rsidRPr="001A02B6">
        <w:rPr>
          <w:rFonts w:cstheme="minorHAnsi"/>
        </w:rPr>
        <w:t xml:space="preserve"> and a representative course for each pathway in which portability is sought has been selected.</w:t>
      </w:r>
    </w:p>
    <w:p w14:paraId="1109C8BE" w14:textId="77777777" w:rsidR="00D52F95" w:rsidRPr="001A02B6" w:rsidRDefault="00D52F95" w:rsidP="00D52F95">
      <w:pPr>
        <w:spacing w:after="0"/>
        <w:rPr>
          <w:rFonts w:cstheme="minorHAnsi"/>
        </w:rPr>
      </w:pPr>
    </w:p>
    <w:p w14:paraId="6B6C788E" w14:textId="27E418FE" w:rsidR="00BC2356" w:rsidRDefault="00D52F95" w:rsidP="00D52F95">
      <w:pPr>
        <w:pStyle w:val="ListParagraph"/>
        <w:numPr>
          <w:ilvl w:val="0"/>
          <w:numId w:val="4"/>
        </w:numPr>
        <w:spacing w:after="0"/>
        <w:rPr>
          <w:rFonts w:cstheme="minorHAnsi"/>
        </w:rPr>
      </w:pPr>
      <w:r w:rsidRPr="00E17CA4">
        <w:rPr>
          <w:rFonts w:cstheme="minorHAnsi"/>
        </w:rPr>
        <w:t xml:space="preserve">The college should complete the </w:t>
      </w:r>
      <w:r w:rsidRPr="0078484F">
        <w:rPr>
          <w:rFonts w:cstheme="minorHAnsi"/>
          <w:i/>
        </w:rPr>
        <w:t xml:space="preserve">Transitional Math Portability </w:t>
      </w:r>
      <w:r w:rsidR="0078484F" w:rsidRPr="0078484F">
        <w:rPr>
          <w:rFonts w:cstheme="minorHAnsi"/>
          <w:i/>
        </w:rPr>
        <w:t>Course Submission Worksheet</w:t>
      </w:r>
      <w:r w:rsidRPr="00E17CA4">
        <w:rPr>
          <w:rFonts w:cstheme="minorHAnsi"/>
        </w:rPr>
        <w:t xml:space="preserve"> and provide it to its submitter</w:t>
      </w:r>
      <w:r w:rsidR="00E17CA4" w:rsidRPr="00E17CA4">
        <w:rPr>
          <w:rFonts w:cstheme="minorHAnsi"/>
        </w:rPr>
        <w:t>, which can be the college’s IAI submitter,</w:t>
      </w:r>
      <w:r w:rsidRPr="00E17CA4">
        <w:rPr>
          <w:rFonts w:cstheme="minorHAnsi"/>
        </w:rPr>
        <w:t xml:space="preserve"> for input into the iPlacement system.</w:t>
      </w:r>
      <w:r w:rsidR="00D22141" w:rsidRPr="00E17CA4">
        <w:rPr>
          <w:rFonts w:cstheme="minorHAnsi"/>
        </w:rPr>
        <w:t xml:space="preserve"> </w:t>
      </w:r>
      <w:r w:rsidR="0078484F">
        <w:rPr>
          <w:rFonts w:cstheme="minorHAnsi"/>
        </w:rPr>
        <w:t>It is advised that the college maintain a document with the portability codes for each high school in its partnership for ease of reference over time.</w:t>
      </w:r>
    </w:p>
    <w:p w14:paraId="2C12239D" w14:textId="77777777" w:rsidR="00E17CA4" w:rsidRPr="00E17CA4" w:rsidRDefault="00E17CA4" w:rsidP="00E17CA4">
      <w:pPr>
        <w:pStyle w:val="ListParagraph"/>
        <w:spacing w:after="0"/>
        <w:rPr>
          <w:rFonts w:cstheme="minorHAnsi"/>
        </w:rPr>
      </w:pPr>
    </w:p>
    <w:p w14:paraId="016C9FD3" w14:textId="5137C53E" w:rsidR="00BC2356" w:rsidRPr="001A02B6" w:rsidRDefault="00BC2356" w:rsidP="00BC2356">
      <w:pPr>
        <w:pStyle w:val="ListParagraph"/>
        <w:numPr>
          <w:ilvl w:val="0"/>
          <w:numId w:val="4"/>
        </w:numPr>
        <w:spacing w:after="0"/>
        <w:rPr>
          <w:rFonts w:cstheme="minorHAnsi"/>
        </w:rPr>
      </w:pPr>
      <w:r w:rsidRPr="001A02B6">
        <w:rPr>
          <w:rFonts w:cstheme="minorHAnsi"/>
        </w:rPr>
        <w:t xml:space="preserve">For </w:t>
      </w:r>
      <w:r w:rsidRPr="00E17CA4">
        <w:rPr>
          <w:rFonts w:cstheme="minorHAnsi"/>
          <w:b/>
        </w:rPr>
        <w:t>each</w:t>
      </w:r>
      <w:r w:rsidRPr="001A02B6">
        <w:rPr>
          <w:rFonts w:cstheme="minorHAnsi"/>
        </w:rPr>
        <w:t xml:space="preserve"> pathway in which portability being applied for, </w:t>
      </w:r>
      <w:r w:rsidR="00E17CA4">
        <w:rPr>
          <w:rFonts w:cstheme="minorHAnsi"/>
        </w:rPr>
        <w:t>submit</w:t>
      </w:r>
      <w:r w:rsidRPr="001A02B6">
        <w:rPr>
          <w:rFonts w:cstheme="minorHAnsi"/>
        </w:rPr>
        <w:t xml:space="preserve"> the following documents </w:t>
      </w:r>
      <w:r w:rsidR="00D22141">
        <w:rPr>
          <w:rFonts w:cstheme="minorHAnsi"/>
        </w:rPr>
        <w:t xml:space="preserve">in </w:t>
      </w:r>
      <w:r w:rsidRPr="00D22141">
        <w:rPr>
          <w:rFonts w:cstheme="minorHAnsi"/>
          <w:u w:val="single"/>
        </w:rPr>
        <w:t>PDF</w:t>
      </w:r>
      <w:r w:rsidR="00D22141" w:rsidRPr="00D22141">
        <w:rPr>
          <w:rFonts w:cstheme="minorHAnsi"/>
        </w:rPr>
        <w:t xml:space="preserve"> form</w:t>
      </w:r>
      <w:r w:rsidRPr="001A02B6">
        <w:rPr>
          <w:rFonts w:cstheme="minorHAnsi"/>
        </w:rPr>
        <w:t>.</w:t>
      </w:r>
    </w:p>
    <w:p w14:paraId="5BC5C762" w14:textId="28623ADF" w:rsidR="00BC2356" w:rsidRPr="001A02B6" w:rsidRDefault="00D94A3B" w:rsidP="00BC2356">
      <w:pPr>
        <w:pStyle w:val="ListParagraph"/>
        <w:numPr>
          <w:ilvl w:val="0"/>
          <w:numId w:val="3"/>
        </w:numPr>
        <w:spacing w:after="0"/>
        <w:ind w:left="1260" w:hanging="450"/>
        <w:rPr>
          <w:rFonts w:cstheme="minorHAnsi"/>
        </w:rPr>
      </w:pPr>
      <w:r>
        <w:rPr>
          <w:rFonts w:cstheme="minorHAnsi"/>
        </w:rPr>
        <w:t>A signed copy of the m</w:t>
      </w:r>
      <w:r w:rsidR="00BC2356" w:rsidRPr="001A02B6">
        <w:rPr>
          <w:rFonts w:cstheme="minorHAnsi"/>
        </w:rPr>
        <w:t xml:space="preserve">emo of </w:t>
      </w:r>
      <w:r>
        <w:rPr>
          <w:rFonts w:cstheme="minorHAnsi"/>
        </w:rPr>
        <w:t>u</w:t>
      </w:r>
      <w:r w:rsidR="00BC2356" w:rsidRPr="001A02B6">
        <w:rPr>
          <w:rFonts w:cstheme="minorHAnsi"/>
        </w:rPr>
        <w:t>nderstanding</w:t>
      </w:r>
      <w:r>
        <w:rPr>
          <w:rFonts w:cstheme="minorHAnsi"/>
        </w:rPr>
        <w:t xml:space="preserve"> from one of the schools in the partnership</w:t>
      </w:r>
    </w:p>
    <w:p w14:paraId="3F87C927" w14:textId="32AC9F7C" w:rsidR="00BC2356" w:rsidRPr="001A02B6" w:rsidRDefault="00BC2356" w:rsidP="00BC2356">
      <w:pPr>
        <w:pStyle w:val="ListParagraph"/>
        <w:numPr>
          <w:ilvl w:val="0"/>
          <w:numId w:val="3"/>
        </w:numPr>
        <w:spacing w:after="0"/>
        <w:ind w:left="1260" w:hanging="450"/>
        <w:rPr>
          <w:rFonts w:cstheme="minorHAnsi"/>
        </w:rPr>
      </w:pPr>
      <w:r w:rsidRPr="001A02B6">
        <w:rPr>
          <w:rFonts w:cstheme="minorHAnsi"/>
        </w:rPr>
        <w:t xml:space="preserve">Representative transitional math syllabus </w:t>
      </w:r>
    </w:p>
    <w:p w14:paraId="2E278859" w14:textId="79755BB5" w:rsidR="00BC2356" w:rsidRPr="001A02B6" w:rsidRDefault="00BC2356" w:rsidP="00BC2356">
      <w:pPr>
        <w:pStyle w:val="ListParagraph"/>
        <w:numPr>
          <w:ilvl w:val="0"/>
          <w:numId w:val="3"/>
        </w:numPr>
        <w:spacing w:after="0"/>
        <w:ind w:left="1260" w:hanging="450"/>
        <w:rPr>
          <w:rFonts w:cstheme="minorHAnsi"/>
        </w:rPr>
      </w:pPr>
      <w:r w:rsidRPr="001A02B6">
        <w:rPr>
          <w:rFonts w:cstheme="minorHAnsi"/>
        </w:rPr>
        <w:t xml:space="preserve">Content competencies </w:t>
      </w:r>
      <w:r w:rsidR="0078484F">
        <w:rPr>
          <w:rFonts w:cstheme="minorHAnsi"/>
        </w:rPr>
        <w:t>spreadsheet</w:t>
      </w:r>
      <w:r w:rsidRPr="001A02B6">
        <w:rPr>
          <w:rFonts w:cstheme="minorHAnsi"/>
        </w:rPr>
        <w:t xml:space="preserve"> corresponding to the representative transitional math syllabus</w:t>
      </w:r>
    </w:p>
    <w:p w14:paraId="1C563BD3" w14:textId="3341D91B" w:rsidR="00BC2356" w:rsidRPr="001A02B6" w:rsidRDefault="00BC2356" w:rsidP="00D52F95">
      <w:pPr>
        <w:spacing w:after="0"/>
        <w:rPr>
          <w:rFonts w:cstheme="minorHAnsi"/>
        </w:rPr>
      </w:pPr>
      <w:r w:rsidRPr="001A02B6">
        <w:rPr>
          <w:rFonts w:cstheme="minorHAnsi"/>
        </w:rPr>
        <w:tab/>
      </w:r>
    </w:p>
    <w:p w14:paraId="69B3AAAB" w14:textId="311C730A" w:rsidR="00D52F95" w:rsidRPr="0078484F" w:rsidRDefault="0078484F" w:rsidP="0078484F">
      <w:pPr>
        <w:pStyle w:val="ListParagraph"/>
        <w:numPr>
          <w:ilvl w:val="0"/>
          <w:numId w:val="4"/>
        </w:numPr>
        <w:spacing w:after="0"/>
        <w:rPr>
          <w:rFonts w:cstheme="minorHAnsi"/>
        </w:rPr>
      </w:pPr>
      <w:r>
        <w:rPr>
          <w:rFonts w:cstheme="minorHAnsi"/>
        </w:rPr>
        <w:t xml:space="preserve">For schools that have been approved for portability by the LAP between submission years </w:t>
      </w:r>
      <w:r w:rsidR="00A6005D">
        <w:rPr>
          <w:rFonts w:cstheme="minorHAnsi"/>
        </w:rPr>
        <w:t xml:space="preserve">for a course that has already gained portability by the </w:t>
      </w:r>
      <w:r>
        <w:rPr>
          <w:rFonts w:cstheme="minorHAnsi"/>
        </w:rPr>
        <w:t>statewide</w:t>
      </w:r>
      <w:r w:rsidR="00A6005D">
        <w:rPr>
          <w:rFonts w:cstheme="minorHAnsi"/>
        </w:rPr>
        <w:t xml:space="preserve"> portability</w:t>
      </w:r>
      <w:r>
        <w:rPr>
          <w:rFonts w:cstheme="minorHAnsi"/>
        </w:rPr>
        <w:t xml:space="preserve"> panel, a </w:t>
      </w:r>
      <w:r w:rsidRPr="0078484F">
        <w:rPr>
          <w:rFonts w:cstheme="minorHAnsi"/>
          <w:i/>
        </w:rPr>
        <w:t>Portability Modification</w:t>
      </w:r>
      <w:r>
        <w:rPr>
          <w:rFonts w:cstheme="minorHAnsi"/>
        </w:rPr>
        <w:t xml:space="preserve"> </w:t>
      </w:r>
      <w:r w:rsidR="00A6005D" w:rsidRPr="00A6005D">
        <w:rPr>
          <w:rFonts w:cstheme="minorHAnsi"/>
          <w:i/>
        </w:rPr>
        <w:t>F</w:t>
      </w:r>
      <w:r w:rsidRPr="00A6005D">
        <w:rPr>
          <w:rFonts w:cstheme="minorHAnsi"/>
          <w:i/>
        </w:rPr>
        <w:t>orm</w:t>
      </w:r>
      <w:r>
        <w:rPr>
          <w:rFonts w:cstheme="minorHAnsi"/>
        </w:rPr>
        <w:t xml:space="preserve"> should be completed and submitted by the college to the agencies, ISBE and ICCB. The agencies will update the portability database.</w:t>
      </w:r>
    </w:p>
    <w:p w14:paraId="5A2ABA15" w14:textId="14F8511E" w:rsidR="0078484F" w:rsidRDefault="0078484F" w:rsidP="00E17CA4">
      <w:pPr>
        <w:spacing w:after="0"/>
        <w:rPr>
          <w:rFonts w:cstheme="minorHAnsi"/>
        </w:rPr>
      </w:pPr>
    </w:p>
    <w:p w14:paraId="154CB28F" w14:textId="77777777" w:rsidR="0078484F" w:rsidRDefault="0078484F" w:rsidP="00E17CA4">
      <w:pPr>
        <w:spacing w:after="0"/>
        <w:rPr>
          <w:rFonts w:cstheme="minorHAnsi"/>
        </w:rPr>
      </w:pPr>
    </w:p>
    <w:p w14:paraId="751C768F" w14:textId="77777777" w:rsidR="00E17CA4" w:rsidRDefault="00E17CA4" w:rsidP="00E17CA4">
      <w:pPr>
        <w:rPr>
          <w:color w:val="000000" w:themeColor="text1"/>
          <w:szCs w:val="24"/>
        </w:rPr>
      </w:pPr>
      <w:r>
        <w:rPr>
          <w:color w:val="000000" w:themeColor="text1"/>
          <w:szCs w:val="24"/>
        </w:rPr>
        <w:t>NOTES:</w:t>
      </w:r>
    </w:p>
    <w:p w14:paraId="6EC47096" w14:textId="3F79B2FB" w:rsidR="00E17CA4" w:rsidRPr="0078484F" w:rsidRDefault="00E17CA4" w:rsidP="00E17CA4">
      <w:pPr>
        <w:pStyle w:val="ListParagraph"/>
        <w:numPr>
          <w:ilvl w:val="0"/>
          <w:numId w:val="5"/>
        </w:numPr>
        <w:spacing w:after="0" w:line="240" w:lineRule="auto"/>
      </w:pPr>
      <w:r w:rsidRPr="0078484F">
        <w:rPr>
          <w:color w:val="000000" w:themeColor="text1"/>
          <w:szCs w:val="24"/>
        </w:rPr>
        <w:t>Use of the statewide MOU template</w:t>
      </w:r>
      <w:r w:rsidR="0078484F" w:rsidRPr="0078484F">
        <w:rPr>
          <w:color w:val="000000" w:themeColor="text1"/>
          <w:szCs w:val="24"/>
        </w:rPr>
        <w:t xml:space="preserve"> or syllabus template</w:t>
      </w:r>
      <w:r w:rsidR="00E62B0E" w:rsidRPr="0078484F">
        <w:rPr>
          <w:color w:val="000000" w:themeColor="text1"/>
          <w:szCs w:val="24"/>
        </w:rPr>
        <w:t xml:space="preserve"> is</w:t>
      </w:r>
      <w:r w:rsidRPr="0078484F">
        <w:rPr>
          <w:color w:val="000000" w:themeColor="text1"/>
          <w:szCs w:val="24"/>
        </w:rPr>
        <w:t xml:space="preserve"> recommended but not required</w:t>
      </w:r>
      <w:r w:rsidR="0078484F">
        <w:rPr>
          <w:color w:val="000000" w:themeColor="text1"/>
          <w:szCs w:val="24"/>
        </w:rPr>
        <w:t>.</w:t>
      </w:r>
    </w:p>
    <w:p w14:paraId="3AD427FE" w14:textId="77777777" w:rsidR="0078484F" w:rsidRDefault="0078484F" w:rsidP="0078484F">
      <w:pPr>
        <w:pStyle w:val="ListParagraph"/>
        <w:spacing w:after="0" w:line="240" w:lineRule="auto"/>
      </w:pPr>
    </w:p>
    <w:p w14:paraId="627E45D6" w14:textId="3749EEC6" w:rsidR="00E17CA4" w:rsidRDefault="00E17CA4" w:rsidP="00E17CA4">
      <w:pPr>
        <w:pStyle w:val="ListParagraph"/>
        <w:numPr>
          <w:ilvl w:val="0"/>
          <w:numId w:val="5"/>
        </w:numPr>
        <w:spacing w:after="0" w:line="240" w:lineRule="auto"/>
      </w:pPr>
      <w:r>
        <w:t xml:space="preserve">The content of the MOU </w:t>
      </w:r>
      <w:r w:rsidR="0078484F">
        <w:t xml:space="preserve">and syllabus </w:t>
      </w:r>
      <w:r>
        <w:t>should match the ordering and numbering of the content of the statewide MOU template</w:t>
      </w:r>
      <w:r w:rsidR="0078484F">
        <w:t xml:space="preserve"> and syllabus template respectively</w:t>
      </w:r>
      <w:r>
        <w:t>. Any additional items that are not in the statewide MOU template must be placed at the end of the MOU document, prior to the signatures.</w:t>
      </w:r>
      <w:r w:rsidR="0078484F">
        <w:t xml:space="preserve"> Similarly, any additional items that are not in the syllabus template should be placed after the required items in the document.</w:t>
      </w:r>
    </w:p>
    <w:p w14:paraId="7D7857BA" w14:textId="77777777" w:rsidR="00E17CA4" w:rsidRPr="00E17CA4" w:rsidRDefault="00E17CA4" w:rsidP="00E17CA4">
      <w:pPr>
        <w:spacing w:after="0"/>
        <w:rPr>
          <w:rFonts w:cstheme="minorHAnsi"/>
        </w:rPr>
      </w:pPr>
    </w:p>
    <w:p w14:paraId="11C72DC2" w14:textId="44A122CB" w:rsidR="000F43F3" w:rsidRDefault="000F43F3">
      <w:pPr>
        <w:rPr>
          <w:rFonts w:cstheme="minorHAnsi"/>
        </w:rPr>
      </w:pPr>
      <w:r>
        <w:rPr>
          <w:rFonts w:cstheme="minorHAnsi"/>
        </w:rPr>
        <w:br w:type="page"/>
      </w:r>
    </w:p>
    <w:p w14:paraId="791B97AC" w14:textId="0E5F7599" w:rsidR="000F43F3" w:rsidRDefault="000F43F3" w:rsidP="000F43F3">
      <w:pPr>
        <w:ind w:left="-270"/>
        <w:jc w:val="center"/>
      </w:pPr>
      <w:r>
        <w:rPr>
          <w:b/>
          <w:sz w:val="24"/>
        </w:rPr>
        <w:lastRenderedPageBreak/>
        <w:t>Document Names and Purposes</w:t>
      </w:r>
      <w:r w:rsidR="002B77A9">
        <w:rPr>
          <w:b/>
          <w:sz w:val="24"/>
        </w:rPr>
        <w:t xml:space="preserve"> for Portability</w:t>
      </w:r>
    </w:p>
    <w:tbl>
      <w:tblPr>
        <w:tblStyle w:val="TableGrid"/>
        <w:tblW w:w="9630" w:type="dxa"/>
        <w:tblInd w:w="715" w:type="dxa"/>
        <w:tblLook w:val="04A0" w:firstRow="1" w:lastRow="0" w:firstColumn="1" w:lastColumn="0" w:noHBand="0" w:noVBand="1"/>
      </w:tblPr>
      <w:tblGrid>
        <w:gridCol w:w="2515"/>
        <w:gridCol w:w="7115"/>
      </w:tblGrid>
      <w:tr w:rsidR="000F43F3" w:rsidRPr="00CB4F40" w14:paraId="7ADBA515" w14:textId="77777777" w:rsidTr="00F35E1E">
        <w:tc>
          <w:tcPr>
            <w:tcW w:w="2515" w:type="dxa"/>
          </w:tcPr>
          <w:p w14:paraId="14606CAD" w14:textId="77777777" w:rsidR="000F43F3" w:rsidRPr="004C389A" w:rsidRDefault="000F43F3" w:rsidP="0011260A">
            <w:pPr>
              <w:rPr>
                <w:b/>
                <w:sz w:val="24"/>
              </w:rPr>
            </w:pPr>
            <w:r w:rsidRPr="004C389A">
              <w:rPr>
                <w:b/>
                <w:sz w:val="24"/>
              </w:rPr>
              <w:t>Document Name</w:t>
            </w:r>
          </w:p>
        </w:tc>
        <w:tc>
          <w:tcPr>
            <w:tcW w:w="7115" w:type="dxa"/>
          </w:tcPr>
          <w:p w14:paraId="5235F3ED" w14:textId="77777777" w:rsidR="000F43F3" w:rsidRPr="004C389A" w:rsidRDefault="000F43F3" w:rsidP="0011260A">
            <w:pPr>
              <w:rPr>
                <w:b/>
                <w:sz w:val="24"/>
              </w:rPr>
            </w:pPr>
            <w:r w:rsidRPr="004C389A">
              <w:rPr>
                <w:b/>
                <w:sz w:val="24"/>
              </w:rPr>
              <w:t>Purpose</w:t>
            </w:r>
          </w:p>
        </w:tc>
      </w:tr>
      <w:tr w:rsidR="000F43F3" w:rsidRPr="00CB4F40" w14:paraId="5CC39CAC" w14:textId="77777777" w:rsidTr="00F35E1E">
        <w:tc>
          <w:tcPr>
            <w:tcW w:w="2515" w:type="dxa"/>
            <w:vAlign w:val="center"/>
          </w:tcPr>
          <w:p w14:paraId="57591C99" w14:textId="77777777" w:rsidR="000F43F3" w:rsidRDefault="000F43F3" w:rsidP="0011260A">
            <w:r w:rsidRPr="00CB4F40">
              <w:t>Transitional Math Syllabus</w:t>
            </w:r>
          </w:p>
          <w:p w14:paraId="10AB1119" w14:textId="77777777" w:rsidR="000F43F3" w:rsidRPr="00CB4F40" w:rsidRDefault="000F43F3" w:rsidP="0011260A"/>
        </w:tc>
        <w:tc>
          <w:tcPr>
            <w:tcW w:w="7115" w:type="dxa"/>
          </w:tcPr>
          <w:p w14:paraId="0DBB94B2" w14:textId="77777777" w:rsidR="000F43F3" w:rsidRDefault="000F43F3" w:rsidP="000F43F3">
            <w:pPr>
              <w:pStyle w:val="ListParagraph"/>
              <w:numPr>
                <w:ilvl w:val="0"/>
                <w:numId w:val="6"/>
              </w:numPr>
            </w:pPr>
            <w:r>
              <w:t>Provides the SPP and LAP with information needed to determine the following:</w:t>
            </w:r>
          </w:p>
          <w:p w14:paraId="7044355F" w14:textId="77777777" w:rsidR="000F43F3" w:rsidRDefault="000F43F3" w:rsidP="000F43F3">
            <w:pPr>
              <w:pStyle w:val="ListParagraph"/>
              <w:numPr>
                <w:ilvl w:val="1"/>
                <w:numId w:val="6"/>
              </w:numPr>
            </w:pPr>
            <w:r>
              <w:t>Appropriate course name and portability code are used</w:t>
            </w:r>
          </w:p>
          <w:p w14:paraId="03C06D02" w14:textId="77777777" w:rsidR="000F43F3" w:rsidRDefault="000F43F3" w:rsidP="000F43F3">
            <w:pPr>
              <w:pStyle w:val="ListParagraph"/>
              <w:numPr>
                <w:ilvl w:val="1"/>
                <w:numId w:val="6"/>
              </w:numPr>
            </w:pPr>
            <w:r>
              <w:t>Process competencies are incorporated throughout the course</w:t>
            </w:r>
          </w:p>
          <w:p w14:paraId="0822A3FF" w14:textId="77777777" w:rsidR="000F43F3" w:rsidRDefault="000F43F3" w:rsidP="000F43F3">
            <w:pPr>
              <w:pStyle w:val="ListParagraph"/>
              <w:numPr>
                <w:ilvl w:val="1"/>
                <w:numId w:val="6"/>
              </w:numPr>
            </w:pPr>
            <w:r>
              <w:t>Problem/project-based learning is incorporated throughout the course</w:t>
            </w:r>
          </w:p>
          <w:p w14:paraId="33FA1EF1" w14:textId="77777777" w:rsidR="000F43F3" w:rsidRDefault="000F43F3" w:rsidP="000F43F3">
            <w:pPr>
              <w:pStyle w:val="ListParagraph"/>
              <w:numPr>
                <w:ilvl w:val="1"/>
                <w:numId w:val="6"/>
              </w:numPr>
            </w:pPr>
            <w:r>
              <w:t>Appropriate course materials are used</w:t>
            </w:r>
          </w:p>
          <w:p w14:paraId="1D81CAF6" w14:textId="77777777" w:rsidR="000F43F3" w:rsidRDefault="000F43F3" w:rsidP="000F43F3">
            <w:pPr>
              <w:pStyle w:val="ListParagraph"/>
              <w:numPr>
                <w:ilvl w:val="1"/>
                <w:numId w:val="6"/>
              </w:numPr>
            </w:pPr>
            <w:r>
              <w:t>Evaluation is used that meets the MOU and statewide requirements</w:t>
            </w:r>
          </w:p>
          <w:p w14:paraId="1753F6D1" w14:textId="77777777" w:rsidR="000F43F3" w:rsidRDefault="000F43F3" w:rsidP="000F43F3">
            <w:pPr>
              <w:pStyle w:val="ListParagraph"/>
              <w:numPr>
                <w:ilvl w:val="0"/>
                <w:numId w:val="6"/>
              </w:numPr>
            </w:pPr>
            <w:r>
              <w:t>Provides the classroom teacher with information on course requirements, units of instruction, pedagogical approach, evaluation, and materials</w:t>
            </w:r>
          </w:p>
          <w:p w14:paraId="0B30734A" w14:textId="77777777" w:rsidR="000F43F3" w:rsidRPr="00CB4F40" w:rsidRDefault="000F43F3" w:rsidP="0011260A">
            <w:pPr>
              <w:pStyle w:val="ListParagraph"/>
              <w:ind w:left="1440"/>
            </w:pPr>
          </w:p>
        </w:tc>
      </w:tr>
      <w:tr w:rsidR="000F43F3" w:rsidRPr="00CB4F40" w14:paraId="0F106004" w14:textId="77777777" w:rsidTr="00F35E1E">
        <w:tc>
          <w:tcPr>
            <w:tcW w:w="2515" w:type="dxa"/>
            <w:vAlign w:val="center"/>
          </w:tcPr>
          <w:p w14:paraId="575E5490" w14:textId="77777777" w:rsidR="000F43F3" w:rsidRDefault="000F43F3" w:rsidP="0011260A">
            <w:r w:rsidRPr="00CB4F40">
              <w:t>Content Competencies</w:t>
            </w:r>
            <w:r>
              <w:t xml:space="preserve"> spreadsheet</w:t>
            </w:r>
          </w:p>
          <w:p w14:paraId="58DF0F99" w14:textId="77777777" w:rsidR="000F43F3" w:rsidRPr="00CB4F40" w:rsidRDefault="000F43F3" w:rsidP="0011260A"/>
        </w:tc>
        <w:tc>
          <w:tcPr>
            <w:tcW w:w="7115" w:type="dxa"/>
          </w:tcPr>
          <w:p w14:paraId="00664105" w14:textId="77777777" w:rsidR="000F43F3" w:rsidRDefault="000F43F3" w:rsidP="000F43F3">
            <w:pPr>
              <w:pStyle w:val="ListParagraph"/>
              <w:numPr>
                <w:ilvl w:val="0"/>
                <w:numId w:val="12"/>
              </w:numPr>
            </w:pPr>
            <w:r>
              <w:t>Provides the SPP and LAP a quick way to check that all competencies and key performance indicators for a pathway are included in the course</w:t>
            </w:r>
          </w:p>
          <w:p w14:paraId="6DD90786" w14:textId="77777777" w:rsidR="000F43F3" w:rsidRDefault="000F43F3" w:rsidP="000F43F3">
            <w:pPr>
              <w:pStyle w:val="ListParagraph"/>
              <w:numPr>
                <w:ilvl w:val="0"/>
                <w:numId w:val="12"/>
              </w:numPr>
            </w:pPr>
            <w:r>
              <w:t>Provides the classroom teacher a cross reference of the competencies and key performance indicators</w:t>
            </w:r>
          </w:p>
          <w:p w14:paraId="3A028E0D" w14:textId="77777777" w:rsidR="000F43F3" w:rsidRPr="00CB4F40" w:rsidRDefault="000F43F3" w:rsidP="0011260A">
            <w:pPr>
              <w:pStyle w:val="ListParagraph"/>
            </w:pPr>
          </w:p>
        </w:tc>
      </w:tr>
      <w:tr w:rsidR="000F43F3" w14:paraId="3D4A6940" w14:textId="77777777" w:rsidTr="00F35E1E">
        <w:tc>
          <w:tcPr>
            <w:tcW w:w="2515" w:type="dxa"/>
            <w:vAlign w:val="center"/>
          </w:tcPr>
          <w:p w14:paraId="02404463" w14:textId="77777777" w:rsidR="000F43F3" w:rsidRDefault="000F43F3" w:rsidP="0011260A">
            <w:r w:rsidRPr="00CB4F40">
              <w:t>Memo of Understanding</w:t>
            </w:r>
          </w:p>
          <w:p w14:paraId="768C2FA7" w14:textId="77777777" w:rsidR="000F43F3" w:rsidRDefault="000F43F3" w:rsidP="0011260A"/>
        </w:tc>
        <w:tc>
          <w:tcPr>
            <w:tcW w:w="7115" w:type="dxa"/>
          </w:tcPr>
          <w:p w14:paraId="7B0D0185" w14:textId="77777777" w:rsidR="000F43F3" w:rsidRDefault="000F43F3" w:rsidP="000F43F3">
            <w:pPr>
              <w:pStyle w:val="ListParagraph"/>
              <w:numPr>
                <w:ilvl w:val="0"/>
                <w:numId w:val="9"/>
              </w:numPr>
              <w:rPr>
                <w:color w:val="000000" w:themeColor="text1"/>
                <w:szCs w:val="24"/>
              </w:rPr>
            </w:pPr>
            <w:r>
              <w:rPr>
                <w:color w:val="000000" w:themeColor="text1"/>
                <w:szCs w:val="24"/>
              </w:rPr>
              <w:t>Provides the SPP and LAP with information to determine if t</w:t>
            </w:r>
            <w:r w:rsidRPr="00013B90">
              <w:rPr>
                <w:color w:val="000000" w:themeColor="text1"/>
                <w:szCs w:val="24"/>
              </w:rPr>
              <w:t>he MOU address</w:t>
            </w:r>
            <w:r>
              <w:rPr>
                <w:color w:val="000000" w:themeColor="text1"/>
                <w:szCs w:val="24"/>
              </w:rPr>
              <w:t>es</w:t>
            </w:r>
            <w:r w:rsidRPr="00013B90">
              <w:rPr>
                <w:color w:val="000000" w:themeColor="text1"/>
                <w:szCs w:val="24"/>
              </w:rPr>
              <w:t xml:space="preserve"> all required statewide policies</w:t>
            </w:r>
            <w:r>
              <w:rPr>
                <w:color w:val="000000" w:themeColor="text1"/>
                <w:szCs w:val="24"/>
              </w:rPr>
              <w:t xml:space="preserve"> and includes </w:t>
            </w:r>
            <w:proofErr w:type="gramStart"/>
            <w:r>
              <w:rPr>
                <w:color w:val="000000" w:themeColor="text1"/>
                <w:szCs w:val="24"/>
              </w:rPr>
              <w:t>all of</w:t>
            </w:r>
            <w:proofErr w:type="gramEnd"/>
            <w:r>
              <w:rPr>
                <w:color w:val="000000" w:themeColor="text1"/>
                <w:szCs w:val="24"/>
              </w:rPr>
              <w:t xml:space="preserve"> the components as required by the State</w:t>
            </w:r>
            <w:r w:rsidRPr="00013B90">
              <w:rPr>
                <w:color w:val="000000" w:themeColor="text1"/>
                <w:szCs w:val="24"/>
              </w:rPr>
              <w:t xml:space="preserve">. </w:t>
            </w:r>
          </w:p>
          <w:p w14:paraId="3D0032CB" w14:textId="77777777" w:rsidR="000F43F3" w:rsidRDefault="000F43F3" w:rsidP="000F43F3">
            <w:pPr>
              <w:pStyle w:val="ListParagraph"/>
              <w:numPr>
                <w:ilvl w:val="0"/>
                <w:numId w:val="9"/>
              </w:numPr>
              <w:rPr>
                <w:color w:val="000000" w:themeColor="text1"/>
                <w:szCs w:val="24"/>
              </w:rPr>
            </w:pPr>
            <w:r>
              <w:rPr>
                <w:color w:val="000000" w:themeColor="text1"/>
                <w:szCs w:val="24"/>
              </w:rPr>
              <w:t>Provides the high schools and colleges a contract with agreed upon responsibilities by each party</w:t>
            </w:r>
          </w:p>
          <w:p w14:paraId="4BA969BE" w14:textId="77777777" w:rsidR="000F43F3" w:rsidRDefault="000F43F3" w:rsidP="0011260A"/>
        </w:tc>
      </w:tr>
      <w:tr w:rsidR="000F43F3" w14:paraId="4A7EEEB5" w14:textId="77777777" w:rsidTr="00F35E1E">
        <w:tc>
          <w:tcPr>
            <w:tcW w:w="2515" w:type="dxa"/>
            <w:vAlign w:val="center"/>
          </w:tcPr>
          <w:p w14:paraId="6AB4A42C" w14:textId="7EA403F5" w:rsidR="000F43F3" w:rsidRDefault="000F43F3" w:rsidP="0011260A">
            <w:r>
              <w:t xml:space="preserve">Portability </w:t>
            </w:r>
            <w:r w:rsidR="00A15CFA">
              <w:t>Course Submission Worksheet</w:t>
            </w:r>
          </w:p>
          <w:p w14:paraId="2F0B29B7" w14:textId="77777777" w:rsidR="000F43F3" w:rsidRPr="00CB4F40" w:rsidRDefault="000F43F3" w:rsidP="0011260A"/>
        </w:tc>
        <w:tc>
          <w:tcPr>
            <w:tcW w:w="7115" w:type="dxa"/>
          </w:tcPr>
          <w:p w14:paraId="5A4C2360" w14:textId="77777777" w:rsidR="000F43F3" w:rsidRDefault="000F43F3" w:rsidP="000F43F3">
            <w:pPr>
              <w:pStyle w:val="ListParagraph"/>
              <w:numPr>
                <w:ilvl w:val="0"/>
                <w:numId w:val="9"/>
              </w:numPr>
              <w:rPr>
                <w:color w:val="000000" w:themeColor="text1"/>
                <w:szCs w:val="24"/>
              </w:rPr>
            </w:pPr>
            <w:r>
              <w:rPr>
                <w:color w:val="000000" w:themeColor="text1"/>
                <w:szCs w:val="24"/>
              </w:rPr>
              <w:t>Provides the SPP with information on portability codes that a school that seeking and/or has gained in between SPP review after approval from the LAP</w:t>
            </w:r>
          </w:p>
          <w:p w14:paraId="35F6082C" w14:textId="398C2F35" w:rsidR="000F43F3" w:rsidRDefault="000F43F3" w:rsidP="000F43F3">
            <w:pPr>
              <w:pStyle w:val="ListParagraph"/>
              <w:numPr>
                <w:ilvl w:val="0"/>
                <w:numId w:val="9"/>
              </w:numPr>
              <w:rPr>
                <w:color w:val="000000" w:themeColor="text1"/>
                <w:szCs w:val="24"/>
              </w:rPr>
            </w:pPr>
            <w:r>
              <w:rPr>
                <w:color w:val="000000" w:themeColor="text1"/>
                <w:szCs w:val="24"/>
              </w:rPr>
              <w:t>Provides the college’s submitter needed information to input school-specific portability code requests and updates in the iPlacement system</w:t>
            </w:r>
          </w:p>
          <w:p w14:paraId="51FBD04E" w14:textId="71050EEB" w:rsidR="0078484F" w:rsidRPr="0078484F" w:rsidRDefault="0078484F" w:rsidP="0078484F">
            <w:pPr>
              <w:pStyle w:val="ListParagraph"/>
              <w:numPr>
                <w:ilvl w:val="0"/>
                <w:numId w:val="9"/>
              </w:numPr>
              <w:rPr>
                <w:color w:val="000000" w:themeColor="text1"/>
                <w:szCs w:val="24"/>
              </w:rPr>
            </w:pPr>
            <w:r w:rsidRPr="0078484F">
              <w:rPr>
                <w:color w:val="000000" w:themeColor="text1"/>
                <w:szCs w:val="24"/>
              </w:rPr>
              <w:t>Provides the college with information to update their records of portability codes within their partnership.</w:t>
            </w:r>
          </w:p>
          <w:p w14:paraId="3AA441D9" w14:textId="77777777" w:rsidR="000F43F3" w:rsidRDefault="000F43F3" w:rsidP="0011260A">
            <w:pPr>
              <w:pStyle w:val="ListParagraph"/>
              <w:rPr>
                <w:color w:val="000000" w:themeColor="text1"/>
                <w:szCs w:val="24"/>
              </w:rPr>
            </w:pPr>
          </w:p>
        </w:tc>
      </w:tr>
      <w:tr w:rsidR="0078484F" w14:paraId="73D8E8ED" w14:textId="77777777" w:rsidTr="00F35E1E">
        <w:tc>
          <w:tcPr>
            <w:tcW w:w="2515" w:type="dxa"/>
            <w:vAlign w:val="center"/>
          </w:tcPr>
          <w:p w14:paraId="1E5C0A26" w14:textId="3635B826" w:rsidR="0078484F" w:rsidRDefault="0078484F" w:rsidP="0011260A">
            <w:pPr>
              <w:rPr>
                <w:rFonts w:cstheme="minorHAnsi"/>
              </w:rPr>
            </w:pPr>
            <w:r w:rsidRPr="0078484F">
              <w:rPr>
                <w:rFonts w:cstheme="minorHAnsi"/>
              </w:rPr>
              <w:t>Portability Modification</w:t>
            </w:r>
            <w:r>
              <w:rPr>
                <w:rFonts w:cstheme="minorHAnsi"/>
              </w:rPr>
              <w:t xml:space="preserve"> </w:t>
            </w:r>
            <w:r w:rsidR="00A6005D">
              <w:rPr>
                <w:rFonts w:cstheme="minorHAnsi"/>
              </w:rPr>
              <w:t>F</w:t>
            </w:r>
            <w:r>
              <w:rPr>
                <w:rFonts w:cstheme="minorHAnsi"/>
              </w:rPr>
              <w:t>orm</w:t>
            </w:r>
          </w:p>
          <w:p w14:paraId="459F8C62" w14:textId="5EFCABEA" w:rsidR="0078484F" w:rsidRDefault="0078484F" w:rsidP="0011260A"/>
        </w:tc>
        <w:tc>
          <w:tcPr>
            <w:tcW w:w="7115" w:type="dxa"/>
          </w:tcPr>
          <w:p w14:paraId="76683AD3" w14:textId="17A5AE29" w:rsidR="0078484F" w:rsidRDefault="0078484F" w:rsidP="000F43F3">
            <w:pPr>
              <w:pStyle w:val="ListParagraph"/>
              <w:numPr>
                <w:ilvl w:val="0"/>
                <w:numId w:val="9"/>
              </w:numPr>
              <w:rPr>
                <w:color w:val="000000" w:themeColor="text1"/>
                <w:szCs w:val="24"/>
              </w:rPr>
            </w:pPr>
            <w:r>
              <w:rPr>
                <w:color w:val="000000" w:themeColor="text1"/>
                <w:szCs w:val="24"/>
              </w:rPr>
              <w:t>Provides ISBE and ICCB with information necessary to update the portability database with portability code additions for schools and/or courses between submission years.</w:t>
            </w:r>
          </w:p>
          <w:p w14:paraId="4A1717F6" w14:textId="4B9F42A8" w:rsidR="0078484F" w:rsidRDefault="0078484F" w:rsidP="000F43F3">
            <w:pPr>
              <w:pStyle w:val="ListParagraph"/>
              <w:numPr>
                <w:ilvl w:val="0"/>
                <w:numId w:val="9"/>
              </w:numPr>
              <w:rPr>
                <w:color w:val="000000" w:themeColor="text1"/>
                <w:szCs w:val="24"/>
              </w:rPr>
            </w:pPr>
            <w:r>
              <w:rPr>
                <w:color w:val="000000" w:themeColor="text1"/>
                <w:szCs w:val="24"/>
              </w:rPr>
              <w:t>Provides the college with information to update their records of portability codes within their partnership.</w:t>
            </w:r>
          </w:p>
          <w:p w14:paraId="14D96A8A" w14:textId="7A56FE57" w:rsidR="0078484F" w:rsidRDefault="0078484F" w:rsidP="0078484F">
            <w:pPr>
              <w:pStyle w:val="ListParagraph"/>
              <w:rPr>
                <w:color w:val="000000" w:themeColor="text1"/>
                <w:szCs w:val="24"/>
              </w:rPr>
            </w:pPr>
          </w:p>
        </w:tc>
      </w:tr>
    </w:tbl>
    <w:p w14:paraId="02987D89" w14:textId="77777777" w:rsidR="000F43F3" w:rsidRDefault="000F43F3" w:rsidP="000F43F3">
      <w:pPr>
        <w:jc w:val="center"/>
        <w:rPr>
          <w:b/>
          <w:sz w:val="24"/>
        </w:rPr>
      </w:pPr>
    </w:p>
    <w:p w14:paraId="2F1493D6" w14:textId="03BD171D" w:rsidR="000F43F3" w:rsidRDefault="000F43F3" w:rsidP="000F43F3">
      <w:pPr>
        <w:rPr>
          <w:b/>
          <w:sz w:val="24"/>
        </w:rPr>
      </w:pPr>
    </w:p>
    <w:sectPr w:rsidR="000F43F3" w:rsidSect="000F236A">
      <w:footerReference w:type="default" r:id="rId7"/>
      <w:pgSz w:w="12240" w:h="15840"/>
      <w:pgMar w:top="720" w:right="720" w:bottom="72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6C43" w14:textId="77777777" w:rsidR="00D52F95" w:rsidRDefault="00D52F95" w:rsidP="00D52F95">
      <w:pPr>
        <w:spacing w:after="0" w:line="240" w:lineRule="auto"/>
      </w:pPr>
      <w:r>
        <w:separator/>
      </w:r>
    </w:p>
  </w:endnote>
  <w:endnote w:type="continuationSeparator" w:id="0">
    <w:p w14:paraId="547C7E31" w14:textId="77777777" w:rsidR="00D52F95" w:rsidRDefault="00D52F95" w:rsidP="00D5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5BF6" w14:textId="33F71FCC" w:rsidR="00D52F95" w:rsidRDefault="00E17118">
    <w:pPr>
      <w:pStyle w:val="Footer"/>
    </w:pPr>
    <w:r>
      <w:t>May 2019</w:t>
    </w:r>
    <w:r>
      <w:tab/>
    </w:r>
    <w:r>
      <w:tab/>
    </w:r>
    <w:sdt>
      <w:sdtPr>
        <w:id w:val="1589348929"/>
        <w:docPartObj>
          <w:docPartGallery w:val="Page Numbers (Bottom of Page)"/>
          <w:docPartUnique/>
        </w:docPartObj>
      </w:sdtPr>
      <w:sdtEndPr>
        <w:rPr>
          <w:noProof/>
        </w:rPr>
      </w:sdtEndPr>
      <w:sdtContent>
        <w:r w:rsidR="00D52F95">
          <w:fldChar w:fldCharType="begin"/>
        </w:r>
        <w:r w:rsidR="00D52F95">
          <w:instrText xml:space="preserve"> PAGE   \* MERGEFORMAT </w:instrText>
        </w:r>
        <w:r w:rsidR="00D52F95">
          <w:fldChar w:fldCharType="separate"/>
        </w:r>
        <w:r w:rsidR="00D52F95">
          <w:rPr>
            <w:noProof/>
          </w:rPr>
          <w:t>2</w:t>
        </w:r>
        <w:r w:rsidR="00D52F95">
          <w:rPr>
            <w:noProof/>
          </w:rPr>
          <w:fldChar w:fldCharType="end"/>
        </w:r>
      </w:sdtContent>
    </w:sdt>
  </w:p>
  <w:p w14:paraId="5670EC54" w14:textId="77777777" w:rsidR="00D52F95" w:rsidRDefault="00D5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A58AA" w14:textId="77777777" w:rsidR="00D52F95" w:rsidRDefault="00D52F95" w:rsidP="00D52F95">
      <w:pPr>
        <w:spacing w:after="0" w:line="240" w:lineRule="auto"/>
      </w:pPr>
      <w:r>
        <w:separator/>
      </w:r>
    </w:p>
  </w:footnote>
  <w:footnote w:type="continuationSeparator" w:id="0">
    <w:p w14:paraId="05EF7A54" w14:textId="77777777" w:rsidR="00D52F95" w:rsidRDefault="00D52F95" w:rsidP="00D5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30B7"/>
    <w:multiLevelType w:val="hybridMultilevel"/>
    <w:tmpl w:val="30F46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07417"/>
    <w:multiLevelType w:val="hybridMultilevel"/>
    <w:tmpl w:val="67D0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24448"/>
    <w:multiLevelType w:val="hybridMultilevel"/>
    <w:tmpl w:val="5B3A2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C1A88"/>
    <w:multiLevelType w:val="hybridMultilevel"/>
    <w:tmpl w:val="2988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41406"/>
    <w:multiLevelType w:val="hybridMultilevel"/>
    <w:tmpl w:val="0B90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12FDC"/>
    <w:multiLevelType w:val="hybridMultilevel"/>
    <w:tmpl w:val="3446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30E"/>
    <w:multiLevelType w:val="hybridMultilevel"/>
    <w:tmpl w:val="77B2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F7CAD"/>
    <w:multiLevelType w:val="hybridMultilevel"/>
    <w:tmpl w:val="729C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B5192"/>
    <w:multiLevelType w:val="hybridMultilevel"/>
    <w:tmpl w:val="9022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86FDE"/>
    <w:multiLevelType w:val="hybridMultilevel"/>
    <w:tmpl w:val="EDAA3E34"/>
    <w:lvl w:ilvl="0" w:tplc="289A28A6">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6157F"/>
    <w:multiLevelType w:val="hybridMultilevel"/>
    <w:tmpl w:val="2F62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92415"/>
    <w:multiLevelType w:val="hybridMultilevel"/>
    <w:tmpl w:val="D416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0"/>
  </w:num>
  <w:num w:numId="5">
    <w:abstractNumId w:val="4"/>
  </w:num>
  <w:num w:numId="6">
    <w:abstractNumId w:val="5"/>
  </w:num>
  <w:num w:numId="7">
    <w:abstractNumId w:val="1"/>
  </w:num>
  <w:num w:numId="8">
    <w:abstractNumId w:val="8"/>
  </w:num>
  <w:num w:numId="9">
    <w:abstractNumId w:val="3"/>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1E"/>
    <w:rsid w:val="00026F11"/>
    <w:rsid w:val="00047F42"/>
    <w:rsid w:val="00087FBF"/>
    <w:rsid w:val="000B4865"/>
    <w:rsid w:val="000F236A"/>
    <w:rsid w:val="000F43F3"/>
    <w:rsid w:val="000F47C8"/>
    <w:rsid w:val="0011260A"/>
    <w:rsid w:val="00197140"/>
    <w:rsid w:val="001A02B6"/>
    <w:rsid w:val="002320DF"/>
    <w:rsid w:val="00265F97"/>
    <w:rsid w:val="00291798"/>
    <w:rsid w:val="002A5DF5"/>
    <w:rsid w:val="002B77A9"/>
    <w:rsid w:val="0031662B"/>
    <w:rsid w:val="00385ADA"/>
    <w:rsid w:val="003878B3"/>
    <w:rsid w:val="003C263E"/>
    <w:rsid w:val="00442C1E"/>
    <w:rsid w:val="00450E8C"/>
    <w:rsid w:val="00500FA9"/>
    <w:rsid w:val="00587E02"/>
    <w:rsid w:val="006641C0"/>
    <w:rsid w:val="0067323A"/>
    <w:rsid w:val="006E435A"/>
    <w:rsid w:val="007624FD"/>
    <w:rsid w:val="0078484F"/>
    <w:rsid w:val="007B3CDA"/>
    <w:rsid w:val="008A2C44"/>
    <w:rsid w:val="009118C7"/>
    <w:rsid w:val="00966624"/>
    <w:rsid w:val="00976310"/>
    <w:rsid w:val="00991FE8"/>
    <w:rsid w:val="00A15CFA"/>
    <w:rsid w:val="00A6005D"/>
    <w:rsid w:val="00AA405F"/>
    <w:rsid w:val="00BA7FC0"/>
    <w:rsid w:val="00BC2356"/>
    <w:rsid w:val="00C366F6"/>
    <w:rsid w:val="00C97B0E"/>
    <w:rsid w:val="00CA3A26"/>
    <w:rsid w:val="00CB45EE"/>
    <w:rsid w:val="00CC1332"/>
    <w:rsid w:val="00CF59AD"/>
    <w:rsid w:val="00D22141"/>
    <w:rsid w:val="00D52F95"/>
    <w:rsid w:val="00D84B96"/>
    <w:rsid w:val="00D94A3B"/>
    <w:rsid w:val="00D95D9C"/>
    <w:rsid w:val="00DE6DBC"/>
    <w:rsid w:val="00E17118"/>
    <w:rsid w:val="00E17CA4"/>
    <w:rsid w:val="00E62B0E"/>
    <w:rsid w:val="00E94281"/>
    <w:rsid w:val="00EE257C"/>
    <w:rsid w:val="00F35E1E"/>
    <w:rsid w:val="00F92D02"/>
    <w:rsid w:val="00FD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098C227"/>
  <w15:chartTrackingRefBased/>
  <w15:docId w15:val="{6DCF1A19-30FF-4A58-B7BA-CE7E9C84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C1E"/>
    <w:pPr>
      <w:ind w:left="720"/>
      <w:contextualSpacing/>
    </w:pPr>
  </w:style>
  <w:style w:type="paragraph" w:styleId="BalloonText">
    <w:name w:val="Balloon Text"/>
    <w:basedOn w:val="Normal"/>
    <w:link w:val="BalloonTextChar"/>
    <w:uiPriority w:val="99"/>
    <w:semiHidden/>
    <w:unhideWhenUsed/>
    <w:rsid w:val="00C3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F6"/>
    <w:rPr>
      <w:rFonts w:ascii="Segoe UI" w:hAnsi="Segoe UI" w:cs="Segoe UI"/>
      <w:sz w:val="18"/>
      <w:szCs w:val="18"/>
    </w:rPr>
  </w:style>
  <w:style w:type="paragraph" w:styleId="Header">
    <w:name w:val="header"/>
    <w:basedOn w:val="Normal"/>
    <w:link w:val="HeaderChar"/>
    <w:uiPriority w:val="99"/>
    <w:unhideWhenUsed/>
    <w:rsid w:val="00D5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F95"/>
  </w:style>
  <w:style w:type="paragraph" w:styleId="Footer">
    <w:name w:val="footer"/>
    <w:basedOn w:val="Normal"/>
    <w:link w:val="FooterChar"/>
    <w:uiPriority w:val="99"/>
    <w:unhideWhenUsed/>
    <w:rsid w:val="00D5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95"/>
  </w:style>
  <w:style w:type="table" w:styleId="TableGrid">
    <w:name w:val="Table Grid"/>
    <w:basedOn w:val="TableNormal"/>
    <w:uiPriority w:val="39"/>
    <w:rsid w:val="000F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Almy</dc:creator>
  <cp:keywords/>
  <dc:description/>
  <cp:lastModifiedBy>Kathleen Almy</cp:lastModifiedBy>
  <cp:revision>7</cp:revision>
  <dcterms:created xsi:type="dcterms:W3CDTF">2019-05-23T15:09:00Z</dcterms:created>
  <dcterms:modified xsi:type="dcterms:W3CDTF">2019-05-24T18:13:00Z</dcterms:modified>
</cp:coreProperties>
</file>